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DC" w:rsidRDefault="00997BDC" w:rsidP="0007326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E179C" w:rsidRPr="008E179C" w:rsidRDefault="008E179C" w:rsidP="008E179C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УДК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377.5</w:t>
      </w:r>
    </w:p>
    <w:p w:rsidR="003F50E8" w:rsidRDefault="008E179C" w:rsidP="003F5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Свеч</w:t>
      </w:r>
      <w:r w:rsidR="003F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никова</w:t>
      </w:r>
      <w:proofErr w:type="spellEnd"/>
      <w:r w:rsidR="003F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Ж.В.</w:t>
      </w:r>
    </w:p>
    <w:p w:rsidR="003F50E8" w:rsidRPr="003F50E8" w:rsidRDefault="003F50E8" w:rsidP="003F50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производственного обучения</w:t>
      </w:r>
      <w:r w:rsidR="008E179C" w:rsidRPr="008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Новосибирский технологический колледж питания</w:t>
      </w:r>
      <w:r w:rsidR="008E179C" w:rsidRPr="008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</w:t>
      </w:r>
      <w:r w:rsidR="008E179C" w:rsidRPr="008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Россия)</w:t>
      </w:r>
      <w:r w:rsidR="008E179C" w:rsidRPr="008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50E8" w:rsidRPr="003F50E8" w:rsidRDefault="003F50E8" w:rsidP="003F50E8">
      <w:pPr>
        <w:spacing w:line="36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ЧЕМПИОНАТ</w:t>
      </w:r>
      <w:r w:rsidR="00B3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НОЕ ДВИЖЕНИЕ</w:t>
      </w:r>
      <w:r w:rsidRPr="003F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3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ИНСТРУМЕНТ СОВРЕМЕННОГО </w:t>
      </w:r>
      <w:r w:rsidRPr="003F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 w:rsidR="00B3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АКТИЧЕСКОГО </w:t>
      </w:r>
      <w:bookmarkStart w:id="0" w:name="_GoBack"/>
      <w:bookmarkEnd w:id="0"/>
      <w:r w:rsidRPr="003F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ОБУЧЕНИЯ  </w:t>
      </w:r>
    </w:p>
    <w:p w:rsidR="003F50E8" w:rsidRDefault="003F50E8" w:rsidP="00AD151E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  <w:r w:rsidRPr="003F50E8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Аннотация</w:t>
      </w:r>
      <w:r w:rsidRPr="003F50E8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: </w:t>
      </w:r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В статье рассматривается практика применения стандартов </w:t>
      </w:r>
      <w:proofErr w:type="gramStart"/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чемпионатного  движения</w:t>
      </w:r>
      <w:proofErr w:type="gramEnd"/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 по профессиональному мастерству при реализации производственного обучения  по программам среднего профессионального образования.  Рассмотрены </w:t>
      </w:r>
      <w:r w:rsidR="00AD151E" w:rsidRP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фактор</w:t>
      </w:r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ы</w:t>
      </w:r>
      <w:r w:rsidR="00AD151E" w:rsidRP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, оказывающи</w:t>
      </w:r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е влияние на качество среднего </w:t>
      </w:r>
      <w:r w:rsidR="00AD151E" w:rsidRP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профессионального образования (СПО) на современном этапе преобразований в сфере образования</w:t>
      </w:r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AD151E" w:rsidRP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Российской Федерации, </w:t>
      </w:r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проведен </w:t>
      </w:r>
      <w:r w:rsidR="00AD151E" w:rsidRP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анализ преимуществ реализации конкурсных механизмов в сфере СПО и оценка</w:t>
      </w:r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AD151E" w:rsidRP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качественных изменений, происходящих под их влиянием</w:t>
      </w:r>
      <w:r w:rsidR="00AD151E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.</w:t>
      </w:r>
    </w:p>
    <w:p w:rsidR="00AD151E" w:rsidRPr="003F50E8" w:rsidRDefault="00AD151E" w:rsidP="00AD151E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</w:p>
    <w:p w:rsidR="003F50E8" w:rsidRDefault="003F50E8" w:rsidP="00AD151E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  <w:r w:rsidRPr="003F50E8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Ключевые слова</w:t>
      </w:r>
      <w:r w:rsidRPr="003F50E8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: система среднего профессионального образования; к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онкурсная деятельность; конкурс </w:t>
      </w:r>
      <w:r w:rsidRPr="003F50E8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профессионального мастерства; качество; повышение конкурентоспособности учащихся.</w:t>
      </w:r>
    </w:p>
    <w:p w:rsidR="00AD151E" w:rsidRPr="00AD151E" w:rsidRDefault="00AD151E" w:rsidP="00AD151E">
      <w:pPr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</w:p>
    <w:p w:rsidR="0007326E" w:rsidRPr="00AD151E" w:rsidRDefault="00CD56A3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>П</w:t>
      </w:r>
      <w:r w:rsidR="0007326E" w:rsidRPr="00AD151E">
        <w:rPr>
          <w:rFonts w:ascii="Times New Roman" w:eastAsia="MS Mincho" w:hAnsi="Times New Roman" w:cs="Times New Roman"/>
          <w:sz w:val="28"/>
          <w:szCs w:val="28"/>
        </w:rPr>
        <w:t xml:space="preserve">одготовки специалистов по стандартам Чемпионата по профессиональному мастерству в системе среднего </w:t>
      </w:r>
      <w:proofErr w:type="gramStart"/>
      <w:r w:rsidR="0007326E" w:rsidRPr="00AD151E">
        <w:rPr>
          <w:rFonts w:ascii="Times New Roman" w:eastAsia="MS Mincho" w:hAnsi="Times New Roman" w:cs="Times New Roman"/>
          <w:sz w:val="28"/>
          <w:szCs w:val="28"/>
        </w:rPr>
        <w:t xml:space="preserve">профессионального </w:t>
      </w:r>
      <w:r w:rsidR="00C40E86" w:rsidRPr="00AD15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7326E" w:rsidRPr="00AD151E">
        <w:rPr>
          <w:rFonts w:ascii="Times New Roman" w:eastAsia="MS Mincho" w:hAnsi="Times New Roman" w:cs="Times New Roman"/>
          <w:sz w:val="28"/>
          <w:szCs w:val="28"/>
        </w:rPr>
        <w:t>образования</w:t>
      </w:r>
      <w:proofErr w:type="gramEnd"/>
      <w:r w:rsidR="0007326E" w:rsidRPr="00AD151E">
        <w:rPr>
          <w:rFonts w:ascii="Times New Roman" w:eastAsia="MS Mincho" w:hAnsi="Times New Roman" w:cs="Times New Roman"/>
          <w:sz w:val="28"/>
          <w:szCs w:val="28"/>
        </w:rPr>
        <w:t xml:space="preserve">  очень </w:t>
      </w:r>
      <w:r w:rsidRPr="00AD151E">
        <w:rPr>
          <w:rFonts w:ascii="Times New Roman" w:eastAsia="MS Mincho" w:hAnsi="Times New Roman" w:cs="Times New Roman"/>
          <w:sz w:val="28"/>
          <w:szCs w:val="28"/>
        </w:rPr>
        <w:t>актуальна.</w:t>
      </w:r>
    </w:p>
    <w:p w:rsidR="0007326E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 xml:space="preserve">Провозглашенный в России переход на инновационный путь развития, необходимость решения актуальных задач «новой индустриализации» и </w:t>
      </w:r>
      <w:proofErr w:type="spellStart"/>
      <w:r w:rsidRPr="00AD151E">
        <w:rPr>
          <w:rFonts w:ascii="Times New Roman" w:eastAsia="MS Mincho" w:hAnsi="Times New Roman" w:cs="Times New Roman"/>
          <w:sz w:val="28"/>
          <w:szCs w:val="28"/>
        </w:rPr>
        <w:t>импортозамещения</w:t>
      </w:r>
      <w:proofErr w:type="spellEnd"/>
      <w:r w:rsidRPr="00AD151E">
        <w:rPr>
          <w:rFonts w:ascii="Times New Roman" w:eastAsia="MS Mincho" w:hAnsi="Times New Roman" w:cs="Times New Roman"/>
          <w:sz w:val="28"/>
          <w:szCs w:val="28"/>
        </w:rPr>
        <w:t xml:space="preserve"> требует опережающего развития профессионального образования в целом, системы подготовки рабочих кадров и формирования прикладных квалификаций в особенности.</w:t>
      </w:r>
    </w:p>
    <w:p w:rsidR="0007326E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 xml:space="preserve">Подготовка студентов к участию в соревнованиях по профессиональному мастерству дают новый импульс развитию системы профессионального образования в России и во всем мире. Благодаря организации чемпионата в Российской Федерации в руках у государства и общества появился уникальный </w:t>
      </w:r>
      <w:r w:rsidRPr="00AD151E">
        <w:rPr>
          <w:rFonts w:ascii="Times New Roman" w:eastAsia="MS Mincho" w:hAnsi="Times New Roman" w:cs="Times New Roman"/>
          <w:sz w:val="28"/>
          <w:szCs w:val="28"/>
        </w:rPr>
        <w:lastRenderedPageBreak/>
        <w:t>эффективный консолидирующий инструмент разработки и развития профессиональных образовательных стандартов, а также комплексной проверки качества профессионального образования на различных уровнях его организации.</w:t>
      </w:r>
    </w:p>
    <w:p w:rsidR="0007326E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>Вместе с тем уже сегодня системе среднего профессионального образования предстоят изменения с учетом следующих базовых тенденций, характерных для современного общества. Становится очевидным, что определение принципов и содержания долгосрочных перспектив развития профессионального образования в России должно основываться в первую очередь с учетом социально-экономической ситуации и происходящих в обществе фундаментальных процессов:</w:t>
      </w:r>
    </w:p>
    <w:p w:rsidR="0007326E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>- глобализации (размывание социально-политических и культурно-исторических границ между ранее обособленными общественными системами);</w:t>
      </w:r>
    </w:p>
    <w:p w:rsidR="0007326E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>- трансформации понятия «ресурс» (переориентация корпоративных структур деятельности с использования «традиционных» материальных, финансовых и организационных средств деятельности на новые, преимущественно сетевые, системы кооперации по поводу совместного доступа к тем или иным ресурсам);</w:t>
      </w:r>
    </w:p>
    <w:p w:rsidR="0007326E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>- возрастания роли человеческого потенциала, традиционные институты развития которого существенно отстали, особенно в качественном отношении, от темпов роста производительных сил цивилизации и интенсивного процесса дифференциации типов профессиональной практики.</w:t>
      </w:r>
    </w:p>
    <w:p w:rsidR="0007326E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eastAsia="MS Mincho" w:hAnsi="Times New Roman" w:cs="Times New Roman"/>
          <w:sz w:val="28"/>
          <w:szCs w:val="28"/>
        </w:rPr>
        <w:t>Эффективным инструментом, позволяющим создать условия развития профессионального образования в нашей стране, является чемпионатное движение по профессиональному мастерству «Профессионалы» и чемпионаты «</w:t>
      </w:r>
      <w:proofErr w:type="spellStart"/>
      <w:r w:rsidRPr="00AD151E">
        <w:rPr>
          <w:rFonts w:ascii="Times New Roman" w:eastAsia="MS Mincho" w:hAnsi="Times New Roman" w:cs="Times New Roman"/>
          <w:sz w:val="28"/>
          <w:szCs w:val="28"/>
        </w:rPr>
        <w:t>Абилимпикс</w:t>
      </w:r>
      <w:proofErr w:type="spellEnd"/>
      <w:r w:rsidRPr="00AD151E">
        <w:rPr>
          <w:rFonts w:ascii="Times New Roman" w:eastAsia="MS Mincho" w:hAnsi="Times New Roman" w:cs="Times New Roman"/>
          <w:sz w:val="28"/>
          <w:szCs w:val="28"/>
        </w:rPr>
        <w:t>» – это инвестиции, а не затраты, и вложения вернутся в значительно большем исчислении.</w:t>
      </w:r>
    </w:p>
    <w:p w:rsidR="00FF7037" w:rsidRPr="00AD151E" w:rsidRDefault="00FF7037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F7037" w:rsidRPr="00AD151E" w:rsidRDefault="00B3485A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51E">
        <w:rPr>
          <w:rFonts w:ascii="Times New Roman" w:hAnsi="Times New Roman" w:cs="Times New Roman"/>
          <w:sz w:val="28"/>
          <w:szCs w:val="28"/>
        </w:rPr>
        <w:t xml:space="preserve">Белова С.Н., Гаврилова Н.Г., Карпова С.И., Кузнецова С.Г., </w:t>
      </w:r>
      <w:proofErr w:type="spellStart"/>
      <w:r w:rsidRPr="00AD151E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AD151E">
        <w:rPr>
          <w:rFonts w:ascii="Times New Roman" w:hAnsi="Times New Roman" w:cs="Times New Roman"/>
          <w:sz w:val="28"/>
          <w:szCs w:val="28"/>
        </w:rPr>
        <w:t xml:space="preserve"> С.М., Чернова О.В. проведя исследование в с</w:t>
      </w:r>
      <w:r w:rsidR="00FF7037" w:rsidRPr="00AD151E">
        <w:rPr>
          <w:rFonts w:ascii="Times New Roman" w:hAnsi="Times New Roman" w:cs="Times New Roman"/>
          <w:sz w:val="28"/>
          <w:szCs w:val="28"/>
        </w:rPr>
        <w:t>тать</w:t>
      </w:r>
      <w:r w:rsidRPr="00AD151E">
        <w:rPr>
          <w:rFonts w:ascii="Times New Roman" w:hAnsi="Times New Roman" w:cs="Times New Roman"/>
          <w:sz w:val="28"/>
          <w:szCs w:val="28"/>
        </w:rPr>
        <w:t>е</w:t>
      </w:r>
      <w:r w:rsidR="00FF7037" w:rsidRPr="00AD151E">
        <w:rPr>
          <w:rFonts w:ascii="Times New Roman" w:hAnsi="Times New Roman" w:cs="Times New Roman"/>
          <w:sz w:val="28"/>
          <w:szCs w:val="28"/>
        </w:rPr>
        <w:t xml:space="preserve"> «Конкурсы </w:t>
      </w:r>
      <w:r w:rsidR="00FF7037" w:rsidRPr="00AD151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мастерства и ресурсного обеспечения как инструмент повышения качества среднего профессионального образования» пришли к  </w:t>
      </w:r>
      <w:r w:rsidRPr="00AD151E">
        <w:rPr>
          <w:rFonts w:ascii="Times New Roman" w:hAnsi="Times New Roman" w:cs="Times New Roman"/>
          <w:sz w:val="28"/>
          <w:szCs w:val="28"/>
        </w:rPr>
        <w:t>выводу, что</w:t>
      </w:r>
      <w:r w:rsidR="00FF7037" w:rsidRPr="00AD151E">
        <w:rPr>
          <w:rFonts w:ascii="Times New Roman" w:hAnsi="Times New Roman" w:cs="Times New Roman"/>
          <w:sz w:val="28"/>
          <w:szCs w:val="28"/>
        </w:rPr>
        <w:t xml:space="preserve"> конкурсы профессионального мастерства на сегодняшний день являются одним из путей развития творчества и стимулирования профессионального роста педагогических работников, выступают механизмом развития мотивации обучающихся для расширения практических навыков, выступают фактором, обеспечивающим более глубокое изучение студентами учебных дисциплин и формирование профессиональных навыков, что в комплексе оказывает существенное влияние на масштабные качественные изменения в системе СПО, позволяя осуществлять выпуск специалистов, уровень подготовки которых в полной мере отвечает требованиям работодателей и вызовам современной экономики</w:t>
      </w:r>
      <w:r w:rsidR="00AD151E">
        <w:rPr>
          <w:rFonts w:ascii="Times New Roman" w:hAnsi="Times New Roman" w:cs="Times New Roman"/>
          <w:sz w:val="28"/>
          <w:szCs w:val="28"/>
        </w:rPr>
        <w:t xml:space="preserve"> [</w:t>
      </w:r>
      <w:r w:rsidR="00090B5D">
        <w:rPr>
          <w:rFonts w:ascii="Times New Roman" w:hAnsi="Times New Roman" w:cs="Times New Roman"/>
          <w:sz w:val="28"/>
          <w:szCs w:val="28"/>
        </w:rPr>
        <w:t>4</w:t>
      </w:r>
      <w:r w:rsidR="00AD151E">
        <w:rPr>
          <w:rFonts w:ascii="Times New Roman" w:hAnsi="Times New Roman" w:cs="Times New Roman"/>
          <w:sz w:val="28"/>
          <w:szCs w:val="28"/>
        </w:rPr>
        <w:t>]</w:t>
      </w:r>
      <w:r w:rsidR="00FF7037" w:rsidRPr="00AD151E">
        <w:rPr>
          <w:rFonts w:ascii="Times New Roman" w:hAnsi="Times New Roman" w:cs="Times New Roman"/>
          <w:sz w:val="28"/>
          <w:szCs w:val="28"/>
        </w:rPr>
        <w:t>.</w:t>
      </w:r>
    </w:p>
    <w:p w:rsidR="00B3485A" w:rsidRPr="00AD151E" w:rsidRDefault="0007326E" w:rsidP="00090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1E">
        <w:rPr>
          <w:rFonts w:ascii="Times New Roman" w:eastAsia="Calibri" w:hAnsi="Times New Roman" w:cs="Times New Roman"/>
          <w:sz w:val="28"/>
          <w:szCs w:val="28"/>
        </w:rPr>
        <w:t>Проведение Чемпионата</w:t>
      </w:r>
      <w:r w:rsidR="00E07B6A" w:rsidRPr="00AD151E">
        <w:rPr>
          <w:rFonts w:ascii="Times New Roman" w:eastAsia="MS Mincho" w:hAnsi="Times New Roman" w:cs="Times New Roman"/>
          <w:sz w:val="28"/>
          <w:szCs w:val="28"/>
        </w:rPr>
        <w:t xml:space="preserve"> по профессиональному мастерству «Профессионалы»</w:t>
      </w:r>
      <w:r w:rsidRPr="00AD151E">
        <w:rPr>
          <w:rFonts w:ascii="Times New Roman" w:eastAsia="Calibri" w:hAnsi="Times New Roman" w:cs="Times New Roman"/>
          <w:sz w:val="28"/>
          <w:szCs w:val="28"/>
        </w:rPr>
        <w:t xml:space="preserve"> реализуется  в рамках федерального проекта «</w:t>
      </w:r>
      <w:proofErr w:type="spellStart"/>
      <w:r w:rsidRPr="00AD151E">
        <w:rPr>
          <w:rFonts w:ascii="Times New Roman" w:eastAsia="Calibri" w:hAnsi="Times New Roman" w:cs="Times New Roman"/>
          <w:sz w:val="28"/>
          <w:szCs w:val="28"/>
        </w:rPr>
        <w:t>Профессионалитет</w:t>
      </w:r>
      <w:proofErr w:type="spellEnd"/>
      <w:r w:rsidRPr="00AD151E">
        <w:rPr>
          <w:rFonts w:ascii="Times New Roman" w:eastAsia="Calibri" w:hAnsi="Times New Roman" w:cs="Times New Roman"/>
          <w:sz w:val="28"/>
          <w:szCs w:val="28"/>
        </w:rPr>
        <w:t xml:space="preserve"> (кадры для экономического роста)» национального проекта «Образование»  и направлено на достижение национальной цели развития Российской Федерации до 2030 года, определенной подпунктом Б пункта 1 Указа Президента Российской Федерации от 21 июля 2020 г. № 474: «Возможности для самореализации и развития талантов» и соответствующего целевого показателя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</w:r>
      <w:r w:rsidR="00AD151E" w:rsidRPr="00AD151E">
        <w:rPr>
          <w:rFonts w:ascii="Times New Roman" w:eastAsia="Calibri" w:hAnsi="Times New Roman" w:cs="Times New Roman"/>
          <w:sz w:val="28"/>
          <w:szCs w:val="28"/>
        </w:rPr>
        <w:t xml:space="preserve"> [1]</w:t>
      </w:r>
      <w:r w:rsidRPr="00AD15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BFD" w:rsidRPr="00AD151E" w:rsidRDefault="00325FBB" w:rsidP="00090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1E">
        <w:rPr>
          <w:rFonts w:ascii="Times New Roman" w:hAnsi="Times New Roman" w:cs="Times New Roman"/>
          <w:sz w:val="28"/>
          <w:szCs w:val="28"/>
        </w:rPr>
        <w:t>Проведение ч</w:t>
      </w:r>
      <w:r w:rsidR="00E07B6A" w:rsidRPr="00AD151E">
        <w:rPr>
          <w:rFonts w:ascii="Times New Roman" w:hAnsi="Times New Roman" w:cs="Times New Roman"/>
          <w:sz w:val="28"/>
          <w:szCs w:val="28"/>
        </w:rPr>
        <w:t>емпионат</w:t>
      </w:r>
      <w:r w:rsidRPr="00AD151E">
        <w:rPr>
          <w:rFonts w:ascii="Times New Roman" w:hAnsi="Times New Roman" w:cs="Times New Roman"/>
          <w:sz w:val="28"/>
          <w:szCs w:val="28"/>
        </w:rPr>
        <w:t>а</w:t>
      </w:r>
      <w:r w:rsidR="00E07B6A" w:rsidRPr="00AD15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7B6A" w:rsidRPr="00AD151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E07B6A" w:rsidRPr="00AD151E">
        <w:rPr>
          <w:rFonts w:ascii="Times New Roman" w:hAnsi="Times New Roman" w:cs="Times New Roman"/>
          <w:sz w:val="28"/>
          <w:szCs w:val="28"/>
        </w:rPr>
        <w:t>»</w:t>
      </w:r>
      <w:r w:rsidR="00D403B6" w:rsidRPr="00AD1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2E3" w:rsidRPr="00AD151E">
        <w:rPr>
          <w:rFonts w:ascii="Times New Roman" w:hAnsi="Times New Roman" w:cs="Times New Roman"/>
          <w:sz w:val="28"/>
          <w:szCs w:val="28"/>
        </w:rPr>
        <w:t xml:space="preserve">для </w:t>
      </w:r>
      <w:r w:rsidR="00E07B6A" w:rsidRPr="00AD151E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End"/>
      <w:r w:rsidR="00E07B6A" w:rsidRPr="00AD151E">
        <w:rPr>
          <w:rFonts w:ascii="Times New Roman" w:hAnsi="Times New Roman" w:cs="Times New Roman"/>
          <w:sz w:val="28"/>
          <w:szCs w:val="28"/>
        </w:rPr>
        <w:t xml:space="preserve"> с особенностями здоровья проводятся в соответствии с К</w:t>
      </w:r>
      <w:r w:rsidR="00CD56A3" w:rsidRPr="00AD151E">
        <w:rPr>
          <w:rFonts w:ascii="Times New Roman" w:hAnsi="Times New Roman" w:cs="Times New Roman"/>
          <w:sz w:val="28"/>
          <w:szCs w:val="28"/>
        </w:rPr>
        <w:t>о</w:t>
      </w:r>
      <w:r w:rsidR="00E07B6A" w:rsidRPr="00AD151E">
        <w:rPr>
          <w:rFonts w:ascii="Times New Roman" w:hAnsi="Times New Roman" w:cs="Times New Roman"/>
          <w:sz w:val="28"/>
          <w:szCs w:val="28"/>
        </w:rPr>
        <w:t>нцепцией развития движения «</w:t>
      </w:r>
      <w:proofErr w:type="spellStart"/>
      <w:r w:rsidR="00E07B6A" w:rsidRPr="00AD151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E07B6A" w:rsidRPr="00AD151E">
        <w:rPr>
          <w:rFonts w:ascii="Times New Roman" w:hAnsi="Times New Roman" w:cs="Times New Roman"/>
          <w:sz w:val="28"/>
          <w:szCs w:val="28"/>
        </w:rPr>
        <w:t>» в Российской Федерации на 2023 – 2030 годы, утвержденной Министерством просвещения Российской Федерации</w:t>
      </w:r>
      <w:r w:rsidR="000322E3" w:rsidRPr="00AD151E">
        <w:rPr>
          <w:rFonts w:ascii="Times New Roman" w:hAnsi="Times New Roman" w:cs="Times New Roman"/>
          <w:sz w:val="28"/>
          <w:szCs w:val="28"/>
        </w:rPr>
        <w:t>.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3485A" w:rsidRPr="00AD151E" w:rsidRDefault="003D2BFD" w:rsidP="00090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1E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950953" w:rsidRPr="00AD151E">
        <w:rPr>
          <w:rFonts w:ascii="Times New Roman" w:eastAsia="Calibri" w:hAnsi="Times New Roman" w:cs="Times New Roman"/>
          <w:sz w:val="28"/>
          <w:szCs w:val="28"/>
        </w:rPr>
        <w:t>прак</w:t>
      </w:r>
      <w:r w:rsidRPr="00AD151E">
        <w:rPr>
          <w:rFonts w:ascii="Times New Roman" w:eastAsia="Calibri" w:hAnsi="Times New Roman" w:cs="Times New Roman"/>
          <w:sz w:val="28"/>
          <w:szCs w:val="28"/>
        </w:rPr>
        <w:t xml:space="preserve">тического обучения с учетом стандартов чемпионатов по профессиональному мастерству позволяет сформировать у обучающихся профессиональные компетенции необходимые для успешного освоения </w:t>
      </w:r>
      <w:r w:rsidRPr="00AD151E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программы и сдачи демонстрационного экзамена в рамках государственной итоговой аттестации и создает условия для их профессионального самосовершенствования.</w:t>
      </w:r>
    </w:p>
    <w:p w:rsidR="00B3485A" w:rsidRPr="00AD151E" w:rsidRDefault="003D2BFD" w:rsidP="00090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1E">
        <w:rPr>
          <w:rFonts w:ascii="Times New Roman" w:eastAsia="Calibri" w:hAnsi="Times New Roman" w:cs="Times New Roman"/>
          <w:sz w:val="28"/>
          <w:szCs w:val="28"/>
        </w:rPr>
        <w:t>Привлечение и подготовка студентов</w:t>
      </w:r>
      <w:r w:rsidRPr="00AD151E">
        <w:rPr>
          <w:rFonts w:ascii="Times New Roman" w:hAnsi="Times New Roman" w:cs="Times New Roman"/>
          <w:sz w:val="28"/>
          <w:szCs w:val="28"/>
        </w:rPr>
        <w:t xml:space="preserve"> к</w:t>
      </w:r>
      <w:r w:rsidRPr="00AD151E">
        <w:rPr>
          <w:rFonts w:ascii="Times New Roman" w:eastAsia="Calibri" w:hAnsi="Times New Roman" w:cs="Times New Roman"/>
          <w:sz w:val="28"/>
          <w:szCs w:val="28"/>
        </w:rPr>
        <w:t xml:space="preserve"> участию в чемпионатах «</w:t>
      </w:r>
      <w:proofErr w:type="spellStart"/>
      <w:proofErr w:type="gramStart"/>
      <w:r w:rsidRPr="00AD151E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AD151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D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</w:t>
      </w:r>
      <w:proofErr w:type="gramEnd"/>
      <w:r w:rsidRPr="00AD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интегрироваться в общество и продемонстрировать профессиональные возможности лиц с особенностями здоровья.</w:t>
      </w:r>
    </w:p>
    <w:p w:rsidR="00B3485A" w:rsidRPr="00AD151E" w:rsidRDefault="003D2BFD" w:rsidP="00090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ребовани</w:t>
      </w: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</w:t>
      </w:r>
      <w:r w:rsidR="00CD56A3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чемпионата по профессиональному мастерству</w:t>
      </w:r>
      <w:r w:rsid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представленные</w:t>
      </w:r>
      <w:proofErr w:type="gramEnd"/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них профессиональные компетенции рабочего охватывают более широкий диапазон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трудовых действий и необходимых профессиональных умений, чем требования к подготовленности выпускника в соответствии с ФГОС СПО. </w:t>
      </w:r>
    </w:p>
    <w:p w:rsidR="00B3485A" w:rsidRPr="00AD151E" w:rsidRDefault="003D2BFD" w:rsidP="00090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</w:t>
      </w:r>
      <w:r w:rsidR="004C4E48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  требований</w:t>
      </w:r>
      <w:proofErr w:type="gramEnd"/>
      <w:r w:rsidR="004C4E48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чемпионатов</w:t>
      </w: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практическое  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проводим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ое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подготовке по рабочей</w:t>
      </w:r>
      <w:r w:rsidR="00AF681F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профессии</w:t>
      </w:r>
      <w:r w:rsidR="00AF681F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 целью формирование профессиональных умений и навыков по профессии в процессе освоения необходимых технологических опера</w:t>
      </w:r>
      <w:r w:rsidR="004C4E48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ций, включая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виды учебно-производственных работ,</w:t>
      </w:r>
      <w:r w:rsidR="004B1CDC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отбираются в соответствии со спецификой рабочей профессии, требованиями ФГОС, профессионального стандарта и запросов работодателей.</w:t>
      </w:r>
    </w:p>
    <w:p w:rsidR="008C3051" w:rsidRPr="00AD151E" w:rsidRDefault="004C4E48" w:rsidP="00090B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</w:t>
      </w:r>
      <w:proofErr w:type="gramStart"/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время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практического</w:t>
      </w:r>
      <w:proofErr w:type="gramEnd"/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обучения</w:t>
      </w:r>
      <w:r w:rsidR="00B3485A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соответствиями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требованиями 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чемпионатов профессионального мастерства </w:t>
      </w: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происходит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освоение современного 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производственного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681F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оборудования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современных технологий</w:t>
      </w:r>
      <w:r w:rsidR="0013076C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3076C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обучающиеся  погружаются в реальные условия работы производства, оттачивая свои навыки,  учатся работать в команде и совершенствуют компетенции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Такая подготовка</w:t>
      </w:r>
      <w:r w:rsidR="00624EF0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позволяет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приобре</w:t>
      </w: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</w:t>
      </w:r>
      <w:proofErr w:type="gramEnd"/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профессиональны</w:t>
      </w: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умени</w:t>
      </w:r>
      <w:r w:rsidR="00950953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навык</w:t>
      </w:r>
      <w:r w:rsidR="00950953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</w:t>
      </w:r>
      <w:r w:rsidR="00950953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ые</w:t>
      </w:r>
      <w:r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нарабатыва</w:t>
      </w:r>
      <w:r w:rsidR="00950953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C40E86" w:rsidRPr="00AD15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 большим объемом выполнения технологических приемов и операций.</w:t>
      </w:r>
      <w:r w:rsidR="00B3485A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0E86" w:rsidRPr="00AD151E" w:rsidRDefault="00C40E86" w:rsidP="00090B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Применяя стандарты Чемпионата по профессиональному мастерству в рамках производственного обучения создается обстановка, которая погружает обучающихся в профессиональную среду, что позволяет лучше у</w:t>
      </w:r>
      <w:r w:rsidR="00CD56A3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требования, предъявляемые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реальным временем. Это способствует более 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лучшему усвоению материала, закреплению знаний, полученных ими в процессе теоретического обучения.</w:t>
      </w:r>
    </w:p>
    <w:p w:rsidR="00C40E86" w:rsidRPr="00AD151E" w:rsidRDefault="00B3485A" w:rsidP="00090B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Применяя стандарты Чемпионата по профессиональному мастерству в рамках производственного обучения </w:t>
      </w:r>
      <w:proofErr w:type="gramStart"/>
      <w:r w:rsidR="008B5DA7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C40E86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</w:t>
      </w:r>
      <w:r w:rsidR="008B5DA7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proofErr w:type="gramEnd"/>
      <w:r w:rsidR="00C40E86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педагогических </w:t>
      </w:r>
      <w:r w:rsidR="0013076C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метода</w:t>
      </w:r>
      <w:r w:rsidR="00C40E86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40E86" w:rsidRPr="00AD151E" w:rsidRDefault="00B3485A" w:rsidP="00090B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40E86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традиционная модель наставничества, при котором в центре внимания – профессиональное развитие обучающегося. Передавая свой навык и опыт студенту, можно сделать вывод, насколько студент гот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к профессиональному развитию;</w:t>
      </w:r>
      <w:r w:rsidR="00C40E86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0E86" w:rsidRPr="00AD151E" w:rsidRDefault="00B3485A" w:rsidP="00090B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</w:t>
      </w:r>
      <w:r w:rsidR="00C40E86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етод, при котором, студенты самостоятельно выполняют поставленную задачу - это метод опережающего обучения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0E86" w:rsidRPr="00AD151E" w:rsidRDefault="00B3485A" w:rsidP="00090B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40E86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индивидуальный подход, который позволяет учитывать разные способности студента, чтобы «вывести» его из чувства неуверенности и страха, воспитать веру в свои силы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0E86" w:rsidRPr="00AD151E" w:rsidRDefault="00C40E86" w:rsidP="00090B5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таких методов обучения позволяет показать высокие результаты практического навыка и успешной сдачи квалификационного экзамена.</w:t>
      </w:r>
    </w:p>
    <w:p w:rsidR="00C40E86" w:rsidRPr="00AD151E" w:rsidRDefault="00C40E86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Для того что бы достичь положительных результатов на чемпионатах профессионального мастерства различного уровня и сформировать профессиональные компетенции, проверяемые в рамках демонстрационного экзамена </w:t>
      </w:r>
      <w:r w:rsid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автором</w:t>
      </w: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была разр</w:t>
      </w:r>
      <w:r w:rsidR="0013076C"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аботана методика по </w:t>
      </w:r>
      <w:proofErr w:type="gramStart"/>
      <w:r w:rsidR="0013076C"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подготовке </w:t>
      </w: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участников</w:t>
      </w:r>
      <w:proofErr w:type="gramEnd"/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основанная на практико-ориентированном подходе и стандартах чемпионатного движения.  Процесс практической подготовки участников </w:t>
      </w:r>
      <w:r w:rsidR="0013076C"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разбивается на несколько этапов.</w:t>
      </w:r>
    </w:p>
    <w:p w:rsidR="00C40E86" w:rsidRPr="00AD151E" w:rsidRDefault="00C40E86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Первый этап</w:t>
      </w:r>
      <w:r w:rsid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первичный отбор. На данном этапе определяются будущие кандидаты для участия в Чемпионате исходя из их личной мотивации, целей по реализации себя в профессии, кем он себя видит в перспективе, способности к профессии и обучаемость.</w:t>
      </w:r>
    </w:p>
    <w:p w:rsidR="00E92062" w:rsidRPr="00AD151E" w:rsidRDefault="00C40E86" w:rsidP="00090B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Второй этап – знакомство со стандартами </w:t>
      </w:r>
      <w:r w:rsidR="0037399F"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</w:t>
      </w: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емпионата по профессионал</w:t>
      </w:r>
      <w:r w:rsidR="00E92062"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ьному мастерству «Профессионалы</w:t>
      </w:r>
      <w:r w:rsidR="0037399F"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»</w:t>
      </w: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и технической </w:t>
      </w: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документацией.</w:t>
      </w:r>
      <w:r w:rsidRPr="00AD15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D1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рамках данного этапа происходит знакомство студентов с требованиями к компетенциям участников, конкурсным заданием, критериями оценивания и инфраструктурным листом</w:t>
      </w:r>
      <w:r w:rsidRPr="00AD15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AD1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перечень всего оборудования, инструмента и расходных материалов – всё из чего «состоит» площадка Чемпионата). </w:t>
      </w:r>
    </w:p>
    <w:p w:rsidR="00C40E86" w:rsidRPr="00AD151E" w:rsidRDefault="00C40E86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Третий этап – тренировочный. Это этап отбора кандидата для участия в чемпионате включает в себя анализ способностей кандидатов, составление профиля умений и навыков, составление индивидуального плана подготовки кандидата, тренировочные мероприятия, контроль результатов, отбор основного кандидата для участия в предстоящем чемпионате более высокого уровня.</w:t>
      </w:r>
    </w:p>
    <w:p w:rsidR="00C40E86" w:rsidRPr="00AD151E" w:rsidRDefault="00C40E86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AD151E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Четвёртый этап - техническая подготовка к выполнению конкурсного задания. Данный этап позволяет сформировать у студентов навык разработки концепции хлебобулочных изделий, технологии и дизайна, проводится отработка изделия. Отработка проводится сначала по элементам, а затем полностью.</w:t>
      </w:r>
    </w:p>
    <w:p w:rsidR="00016DFA" w:rsidRPr="00AD151E" w:rsidRDefault="0013076C" w:rsidP="00090B5D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AD151E">
        <w:rPr>
          <w:rFonts w:ascii="Times New Roman" w:hAnsi="Times New Roman" w:cs="Times New Roman"/>
          <w:b/>
          <w:sz w:val="28"/>
          <w:szCs w:val="28"/>
        </w:rPr>
        <w:t>Вывод.</w:t>
      </w:r>
      <w:r w:rsidR="00016DFA" w:rsidRPr="00AD151E">
        <w:rPr>
          <w:rFonts w:ascii="Times New Roman" w:hAnsi="Times New Roman" w:cs="Times New Roman"/>
          <w:sz w:val="28"/>
          <w:szCs w:val="28"/>
        </w:rPr>
        <w:t xml:space="preserve"> </w:t>
      </w:r>
      <w:r w:rsidR="00016DFA" w:rsidRPr="00AD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стандартов Чемпионата по профессиональному мастерству «Профессионалы» при реализации производственного </w:t>
      </w:r>
      <w:proofErr w:type="gramStart"/>
      <w:r w:rsidR="00016DFA" w:rsidRPr="00AD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по</w:t>
      </w:r>
      <w:proofErr w:type="gramEnd"/>
      <w:r w:rsidR="00016DFA" w:rsidRPr="00AD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среднего профессионального образования и </w:t>
      </w:r>
      <w:r w:rsidR="00016DFA" w:rsidRPr="00AD151E">
        <w:rPr>
          <w:rFonts w:ascii="Times New Roman" w:hAnsi="Times New Roman" w:cs="Times New Roman"/>
          <w:sz w:val="28"/>
          <w:szCs w:val="28"/>
        </w:rPr>
        <w:t xml:space="preserve">использование конкурсных механизмов позволяет: </w:t>
      </w:r>
    </w:p>
    <w:p w:rsidR="00016DFA" w:rsidRPr="00AD151E" w:rsidRDefault="00016DFA" w:rsidP="0009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1E">
        <w:rPr>
          <w:rFonts w:ascii="Times New Roman" w:hAnsi="Times New Roman" w:cs="Times New Roman"/>
          <w:sz w:val="28"/>
          <w:szCs w:val="28"/>
        </w:rPr>
        <w:t xml:space="preserve">– постоянно обновлять образовательные программы с учетом тенденций актуальных стандартов профессиональной деятельности; </w:t>
      </w:r>
    </w:p>
    <w:p w:rsidR="00016DFA" w:rsidRPr="00AD151E" w:rsidRDefault="00016DFA" w:rsidP="00090B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1E">
        <w:rPr>
          <w:rFonts w:ascii="Times New Roman" w:hAnsi="Times New Roman" w:cs="Times New Roman"/>
          <w:sz w:val="28"/>
          <w:szCs w:val="28"/>
        </w:rPr>
        <w:t>– осуществлять подготовку обучающихся к участию в соревнованиях и профессиональных конкурсах, акцентируя внимание на усилении мотивационного компонента и формируя осознанное отношение к обучению, что в последствие позволяет обучающимся более полно раскрыть свой творческий потенциал и приобрести уникальный профессиональный опыт;</w:t>
      </w:r>
    </w:p>
    <w:p w:rsidR="0013076C" w:rsidRPr="00AD151E" w:rsidRDefault="00016DFA" w:rsidP="00090B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hAnsi="Times New Roman" w:cs="Times New Roman"/>
          <w:sz w:val="28"/>
          <w:szCs w:val="28"/>
        </w:rPr>
        <w:t>– сформировать стратегические ориентиры для повышения эффективности кадрового обеспечения системы СПО посредством профессионального развития преподавателей и мастеров профессионального обучения.</w:t>
      </w:r>
      <w:r w:rsidR="0013076C"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6DFA" w:rsidRDefault="0013076C" w:rsidP="00090B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повышения качества подготовки специалистов необходимо проводить конкурсы профессионального мастерства</w:t>
      </w:r>
      <w:r w:rsidR="0009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</w:t>
      </w:r>
      <w:r w:rsidR="0009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внеурочной деятельности</w:t>
      </w:r>
      <w:r w:rsidR="0009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создать благоприятную среду для развития интеллекта, совершенствования профессиональных умений, развития кр</w:t>
      </w:r>
      <w:r w:rsidR="0009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еативного </w:t>
      </w:r>
      <w:proofErr w:type="gramStart"/>
      <w:r w:rsidR="0009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мышления  обучающихся</w:t>
      </w:r>
      <w:proofErr w:type="gramEnd"/>
      <w:r w:rsidR="00090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формированию опыта творческой деятельности в профессиональной среде</w:t>
      </w:r>
      <w:r w:rsidR="00AD1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0B5D" w:rsidRPr="00AD151E" w:rsidRDefault="00090B5D" w:rsidP="00090B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2936" w:rsidRDefault="00090B5D" w:rsidP="00090B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D15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ЛИТЕРАТУРЫ:</w:t>
      </w:r>
    </w:p>
    <w:p w:rsidR="00090B5D" w:rsidRPr="00AD151E" w:rsidRDefault="00090B5D" w:rsidP="00AD15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3485A" w:rsidRPr="00090B5D" w:rsidRDefault="00B3485A" w:rsidP="00090B5D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21 июля 2020 г. N 474 "О национальных целях развития Российской Федерации на период до 2030 года"</w:t>
      </w:r>
      <w:r w:rsidR="0013076C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URL: </w:t>
      </w:r>
      <w:hyperlink r:id="rId5" w:history="1">
        <w:r w:rsidR="008E179C" w:rsidRPr="00090B5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https://base.garant.ru/74404210</w:t>
        </w:r>
      </w:hyperlink>
      <w:r w:rsidR="008E179C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6C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r w:rsidR="008E179C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6C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01.03.2024).</w:t>
      </w:r>
    </w:p>
    <w:p w:rsidR="00302936" w:rsidRPr="00090B5D" w:rsidRDefault="00302936" w:rsidP="00090B5D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Алябушева</w:t>
      </w:r>
      <w:proofErr w:type="spellEnd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К. Участие в профессиональных конкурсах и выставках как</w:t>
      </w:r>
      <w:r w:rsidR="00AD151E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способ для выявления, развития и поддержки творческих способностей студентов Колледжа // Научно-методический электронный журнал «Концепт». – 2016 – Т.11 – С. 2641–2645. – </w:t>
      </w:r>
      <w:r w:rsidRPr="00090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koncept</w:t>
        </w:r>
        <w:proofErr w:type="spellEnd"/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/2016/86559.</w:t>
        </w:r>
        <w:proofErr w:type="spellStart"/>
        <w:r w:rsidRPr="00090B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="008E179C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 05.03.2024).</w:t>
      </w:r>
    </w:p>
    <w:p w:rsidR="00A031CE" w:rsidRPr="00090B5D" w:rsidRDefault="00A031CE" w:rsidP="00090B5D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B5D">
        <w:rPr>
          <w:rFonts w:ascii="Times New Roman" w:hAnsi="Times New Roman" w:cs="Times New Roman"/>
          <w:sz w:val="28"/>
          <w:szCs w:val="28"/>
        </w:rPr>
        <w:t>Белова Н.Г., Шевченко А.Е. Использование стандартов конкурса «Молодые профессионалы» (</w:t>
      </w:r>
      <w:proofErr w:type="spellStart"/>
      <w:r w:rsidRPr="00090B5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090B5D">
        <w:rPr>
          <w:rFonts w:ascii="Times New Roman" w:hAnsi="Times New Roman" w:cs="Times New Roman"/>
          <w:sz w:val="28"/>
          <w:szCs w:val="28"/>
        </w:rPr>
        <w:t xml:space="preserve">) для совершенствования качества педагогического образования в условиях колледжа [Электронный ресурс]. – </w:t>
      </w:r>
      <w:r w:rsidR="008E179C" w:rsidRPr="00090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90B5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1B27E5">
        <w:fldChar w:fldCharType="begin"/>
      </w:r>
      <w:r w:rsidR="001B27E5">
        <w:instrText xml:space="preserve"> HYPERLINK "https://science-education.ru/ru/article/view?id=30417" </w:instrText>
      </w:r>
      <w:r w:rsidR="001B27E5">
        <w:fldChar w:fldCharType="separate"/>
      </w:r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</w:t>
      </w:r>
      <w:proofErr w:type="spellEnd"/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://science-education.ru/</w:t>
      </w:r>
      <w:proofErr w:type="spellStart"/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ru</w:t>
      </w:r>
      <w:proofErr w:type="spellEnd"/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proofErr w:type="spellStart"/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article</w:t>
      </w:r>
      <w:proofErr w:type="spellEnd"/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proofErr w:type="spellStart"/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view?id</w:t>
      </w:r>
      <w:proofErr w:type="spellEnd"/>
      <w:r w:rsidR="008D2651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=30417</w:t>
      </w:r>
      <w:r w:rsidR="001B27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B3485A" w:rsidRPr="00090B5D" w:rsidRDefault="00CE678B" w:rsidP="00090B5D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hyperlink r:id="rId7" w:history="1">
        <w:r w:rsidR="008E179C" w:rsidRPr="00090B5D">
          <w:rPr>
            <w:rStyle w:val="a3"/>
            <w:rFonts w:ascii="Times New Roman" w:eastAsia="MS Mincho" w:hAnsi="Times New Roman" w:cs="Times New Roman"/>
            <w:color w:val="auto"/>
            <w:sz w:val="28"/>
            <w:szCs w:val="28"/>
            <w:u w:val="none"/>
          </w:rPr>
          <w:t>Белова С.Н., Гаврилова Н.Г., Карпова С.И., Кузнецова С.Г., Низамутдинова С.М., Чернова О.В. Конкурсы профессионального мастерства и ресурсного обеспечения как инструмент повышения качества среднего профессионального образования // Управление образованием: теория и практика. 2021. №2 (42). URL: https://cyberleninka.ru/article/n/konkursy-professionalnogo-masterstva-i-resursnogo-obespecheniya-kak-instrument-povysheniya-kachestva-srednego-professionalnogo (дата обращения: 08.03.2024).</w:t>
        </w:r>
      </w:hyperlink>
    </w:p>
    <w:p w:rsidR="008A10E5" w:rsidRPr="00090B5D" w:rsidRDefault="008A10E5" w:rsidP="00090B5D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Слизкова</w:t>
      </w:r>
      <w:proofErr w:type="spellEnd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 </w:t>
      </w:r>
      <w:proofErr w:type="spellStart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Астаева</w:t>
      </w:r>
      <w:proofErr w:type="spellEnd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 Подготовка обучающихся к </w:t>
      </w:r>
      <w:proofErr w:type="spellStart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конкурсампрофессионального</w:t>
      </w:r>
      <w:proofErr w:type="spellEnd"/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 как фактор качества образования в </w:t>
      </w:r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 // Молодой</w:t>
      </w:r>
      <w:r w:rsidR="00AD151E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 - 2016 - №</w:t>
      </w:r>
      <w:r w:rsidR="008E179C"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- С. 101-105. - [Электронный ресурс]. – </w:t>
      </w:r>
      <w:r w:rsidR="008E179C" w:rsidRPr="00090B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8E179C" w:rsidRPr="00090B5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1B27E5">
        <w:fldChar w:fldCharType="begin"/>
      </w:r>
      <w:r w:rsidR="001B27E5">
        <w:instrText xml:space="preserve"> HYPERLINK "https://moluch.ru/archive/110/27152/" </w:instrText>
      </w:r>
      <w:r w:rsidR="001B27E5">
        <w:fldChar w:fldCharType="separate"/>
      </w:r>
      <w:r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</w:t>
      </w:r>
      <w:proofErr w:type="spellEnd"/>
      <w:r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://moluch.ru/</w:t>
      </w:r>
      <w:proofErr w:type="spellStart"/>
      <w:r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archive</w:t>
      </w:r>
      <w:proofErr w:type="spellEnd"/>
      <w:r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/110/27152/</w:t>
      </w:r>
      <w:r w:rsidR="001B27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8E179C" w:rsidRPr="00090B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(дата обращения 03.03.2024).</w:t>
      </w:r>
    </w:p>
    <w:sectPr w:rsidR="008A10E5" w:rsidRPr="00090B5D" w:rsidSect="008E17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B2D"/>
    <w:multiLevelType w:val="hybridMultilevel"/>
    <w:tmpl w:val="635C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05"/>
    <w:rsid w:val="00016DFA"/>
    <w:rsid w:val="000322E3"/>
    <w:rsid w:val="0007326E"/>
    <w:rsid w:val="00090B5D"/>
    <w:rsid w:val="000F6605"/>
    <w:rsid w:val="0013076C"/>
    <w:rsid w:val="001B27E5"/>
    <w:rsid w:val="001C1145"/>
    <w:rsid w:val="001F0C94"/>
    <w:rsid w:val="0025736B"/>
    <w:rsid w:val="00302936"/>
    <w:rsid w:val="00325FBB"/>
    <w:rsid w:val="0037399F"/>
    <w:rsid w:val="00393339"/>
    <w:rsid w:val="003D2BFD"/>
    <w:rsid w:val="003F50E8"/>
    <w:rsid w:val="004B1CDC"/>
    <w:rsid w:val="004C4E48"/>
    <w:rsid w:val="004F067F"/>
    <w:rsid w:val="005D100A"/>
    <w:rsid w:val="005D30D3"/>
    <w:rsid w:val="00624EF0"/>
    <w:rsid w:val="006E15A7"/>
    <w:rsid w:val="007A5CCB"/>
    <w:rsid w:val="0081714D"/>
    <w:rsid w:val="008A10E5"/>
    <w:rsid w:val="008B5DA7"/>
    <w:rsid w:val="008C3051"/>
    <w:rsid w:val="008D2651"/>
    <w:rsid w:val="008E179C"/>
    <w:rsid w:val="00950953"/>
    <w:rsid w:val="00997BDC"/>
    <w:rsid w:val="009B6519"/>
    <w:rsid w:val="00A031CE"/>
    <w:rsid w:val="00AD151E"/>
    <w:rsid w:val="00AF681F"/>
    <w:rsid w:val="00B3485A"/>
    <w:rsid w:val="00B37924"/>
    <w:rsid w:val="00B66DB3"/>
    <w:rsid w:val="00B705E9"/>
    <w:rsid w:val="00C40E86"/>
    <w:rsid w:val="00CD56A3"/>
    <w:rsid w:val="00D403B6"/>
    <w:rsid w:val="00DE4201"/>
    <w:rsid w:val="00E07B6A"/>
    <w:rsid w:val="00E9206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A834"/>
  <w15:chartTrackingRefBased/>
  <w15:docId w15:val="{A31C7B11-CC21-4603-A4F0-13280CA1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0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C:\Users\219\Downloads\&#1041;&#1077;&#1083;&#1086;&#1074;&#1072;%20&#1057;.&#1053;.,%20&#1043;&#1072;&#1074;&#1088;&#1080;&#1083;&#1086;&#1074;&#1072;%20&#1053;.&#1043;.,%20&#1050;&#1072;&#1088;&#1087;&#1086;&#1074;&#1072;%20&#1057;.&#1048;.,%20&#1050;&#1091;&#1079;&#1085;&#1077;&#1094;&#1086;&#1074;&#1072;%20&#1057;.&#1043;.,%20&#1053;&#1080;&#1079;&#1072;&#1084;&#1091;&#1090;&#1076;&#1080;&#1085;&#1086;&#1074;&#1072;%20&#1057;.&#1052;.,%20&#1063;&#1077;&#1088;&#1085;&#1086;&#1074;&#1072;%20&#1054;.&#1042;.%20&#1050;&#1086;&#1085;&#1082;&#1091;&#1088;&#1089;&#1099;%20&#1087;&#1088;&#1086;&#1092;&#1077;&#1089;&#1089;&#1080;&#1086;&#1085;&#1072;&#1083;&#1100;&#1085;&#1086;&#1075;&#1086;%20&#1084;&#1072;&#1089;&#1090;&#1077;&#1088;&#1089;&#1090;&#1074;&#1072;%20&#1080;%20&#1088;&#1077;&#1089;&#1091;&#1088;&#1089;&#1085;&#1086;&#1075;&#1086;%20&#1086;&#1073;&#1077;&#1089;&#1087;&#1077;&#1095;&#1077;&#1085;&#1080;&#1103;%20&#1082;&#1072;&#1082;%20&#1080;&#1085;&#1089;&#1090;&#1088;&#1091;&#1084;&#1077;&#1085;&#1090;%20&#1087;&#1086;&#1074;&#1099;&#1096;&#1077;&#1085;&#1080;&#1103;%20&#1082;&#1072;&#1095;&#1077;&#1089;&#1090;&#1074;&#1072;%20&#1089;&#1088;&#1077;&#1076;&#1085;&#1077;&#1075;&#1086;%20&#1087;&#1088;&#1086;&#1092;&#1077;&#1089;&#1089;&#1080;&#1086;&#1085;&#1072;&#1083;&#1100;&#1085;&#1086;&#1075;&#1086;%20&#1086;&#1073;&#1088;&#1072;&#1079;&#1086;&#1074;&#1072;&#1085;&#1080;&#1103;%20\%20&#1059;&#1087;&#1088;&#1072;&#1074;&#1083;&#1077;&#1085;&#1080;&#1077;%20&#1086;&#1073;&#1088;&#1072;&#1079;&#1086;&#1074;&#1072;&#1085;&#1080;&#1077;&#1084;:%20&#1090;&#1077;&#1086;&#1088;&#1080;&#1103;%20&#1080;%20&#1087;&#1088;&#1072;&#1082;&#1090;&#1080;&#1082;&#1072;.%202021.%20&#8470;2%20(42).%20URL:%20https:\cyberleninka.ru\article\n\konkursy-professionalnogo-masterstva-i-resursnogo-obespecheniya-kak-instrument-povysheniya-kachestva-srednego-professionalnogo%20(&#1076;&#1072;&#1090;&#1072;%20&#1086;&#1073;&#1088;&#1072;&#1097;&#1077;&#1085;&#1080;&#1103;:%2008.03.2024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koncept.ru/2016/86559.htm" TargetMode="External"/><Relationship Id="rId5" Type="http://schemas.openxmlformats.org/officeDocument/2006/relationships/hyperlink" Target="https://base.garant.ru/744042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2024-04-09T09:29:00Z</dcterms:created>
  <dcterms:modified xsi:type="dcterms:W3CDTF">2024-04-12T08:50:00Z</dcterms:modified>
</cp:coreProperties>
</file>