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31" w:rsidRPr="00802831" w:rsidRDefault="00802831" w:rsidP="00802831">
      <w:pPr>
        <w:spacing w:after="0"/>
        <w:ind w:firstLine="567"/>
        <w:jc w:val="right"/>
        <w:rPr>
          <w:rFonts w:ascii="Times New Roman" w:hAnsi="Times New Roman" w:cs="Times New Roman"/>
          <w:sz w:val="56"/>
          <w:szCs w:val="56"/>
        </w:rPr>
      </w:pPr>
      <w:r w:rsidRPr="00802831">
        <w:rPr>
          <w:rFonts w:ascii="Monotype Corsiva" w:hAnsi="Monotype Corsiva"/>
          <w:b/>
          <w:sz w:val="56"/>
          <w:szCs w:val="56"/>
        </w:rPr>
        <w:t>«Нетрадиционные дидактические игры для дошкольников с нарушением зрения»</w:t>
      </w:r>
    </w:p>
    <w:p w:rsidR="00802831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02831" w:rsidSect="00802831">
          <w:pgSz w:w="11906" w:h="16838"/>
          <w:pgMar w:top="1134" w:right="850" w:bottom="1134" w:left="1701" w:header="708" w:footer="708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08"/>
          <w:docGrid w:linePitch="360"/>
        </w:sectPr>
      </w:pPr>
    </w:p>
    <w:p w:rsidR="00802831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831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70485</wp:posOffset>
            </wp:positionV>
            <wp:extent cx="2743200" cy="2438400"/>
            <wp:effectExtent l="19050" t="0" r="0" b="0"/>
            <wp:wrapTight wrapText="bothSides">
              <wp:wrapPolygon edited="0">
                <wp:start x="-150" y="0"/>
                <wp:lineTo x="-150" y="21431"/>
                <wp:lineTo x="21600" y="21431"/>
                <wp:lineTo x="21600" y="0"/>
                <wp:lineTo x="-150" y="0"/>
              </wp:wrapPolygon>
            </wp:wrapTight>
            <wp:docPr id="3" name="Рисунок 79" descr="https://avatars.mds.yandex.net/get-pdb/245485/d12c7773-d697-41c0-b82d-72e19d6d2e9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avatars.mds.yandex.net/get-pdb/245485/d12c7773-d697-41c0-b82d-72e19d6d2e9f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1A0">
        <w:rPr>
          <w:rFonts w:ascii="Times New Roman" w:hAnsi="Times New Roman" w:cs="Times New Roman"/>
          <w:sz w:val="28"/>
          <w:szCs w:val="28"/>
        </w:rPr>
        <w:t>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 дошкольного возраста.</w:t>
      </w:r>
    </w:p>
    <w:p w:rsidR="00802831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831" w:rsidRDefault="00802831" w:rsidP="0080283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02831" w:rsidSect="0080283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num="2" w:space="708"/>
          <w:docGrid w:linePitch="360"/>
        </w:sectPr>
      </w:pPr>
    </w:p>
    <w:p w:rsidR="00802831" w:rsidRPr="00CB61A0" w:rsidRDefault="00802831" w:rsidP="00802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lastRenderedPageBreak/>
        <w:t>Содержание дидактических игр формирует у детей правильное отношение к явлениям природы, предметам окружающего мира, общественной жизни, людях разных профессий и национальностей, представлений о трудовой деятельности, систематизируя и углубляя знания, приучая детей мыслить самостоятельно, использовать самостоятельные знания в различных условиях в соответствии с поставленной задачей.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с детьми дошкольного возраста с нарушениями зрения имеет некоторые особенности. Охватывая </w:t>
      </w:r>
      <w:proofErr w:type="spellStart"/>
      <w:r w:rsidRPr="00CB61A0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CB61A0">
        <w:rPr>
          <w:rFonts w:ascii="Times New Roman" w:hAnsi="Times New Roman" w:cs="Times New Roman"/>
          <w:sz w:val="28"/>
          <w:szCs w:val="28"/>
        </w:rPr>
        <w:t xml:space="preserve"> периоды жизни детей с ОВЗ, игра повышает их </w:t>
      </w:r>
      <w:proofErr w:type="spellStart"/>
      <w:r w:rsidRPr="00CB61A0"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 w:rsidRPr="00CB61A0">
        <w:rPr>
          <w:rFonts w:ascii="Times New Roman" w:hAnsi="Times New Roman" w:cs="Times New Roman"/>
          <w:sz w:val="28"/>
          <w:szCs w:val="28"/>
        </w:rPr>
        <w:t xml:space="preserve"> возможности, способствует коррекции и компенсации дефектов, связанных с нарушениями зрения. Как зона ближайшего развития ребенка, игра в </w:t>
      </w:r>
      <w:proofErr w:type="spellStart"/>
      <w:r w:rsidRPr="00CB61A0">
        <w:rPr>
          <w:rFonts w:ascii="Times New Roman" w:hAnsi="Times New Roman" w:cs="Times New Roman"/>
          <w:sz w:val="28"/>
          <w:szCs w:val="28"/>
        </w:rPr>
        <w:t>тифлопсихологии</w:t>
      </w:r>
      <w:proofErr w:type="spellEnd"/>
      <w:r w:rsidRPr="00CB61A0">
        <w:rPr>
          <w:rFonts w:ascii="Times New Roman" w:hAnsi="Times New Roman" w:cs="Times New Roman"/>
          <w:sz w:val="28"/>
          <w:szCs w:val="28"/>
        </w:rPr>
        <w:t xml:space="preserve"> рассматривается как средство всестороннего развития, способ познания окружающего мира.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Однако ограничения функции зрительного анализатора создает трудности при овладении всеми структурными компонентами игровой деятельности: у детей отмечается бедность игрового сюжета, содержания игры, схематизм игровых и практических действий. Игровая деятельность детей с нарушениями зрения связана с возникновением компенсаторных процессов, с формированием нравственных качеств, с формированием предметных и игровых действий, с развитием зрительного восприятия.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lastRenderedPageBreak/>
        <w:t>В игре обязательно учитываются индивидуальные особенности каждого воспитанника, устраняются нежелательные проявления в характере и развиваются необходимые компоненты для успешного обучения: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1A0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CB61A0">
        <w:rPr>
          <w:rFonts w:ascii="Times New Roman" w:hAnsi="Times New Roman" w:cs="Times New Roman"/>
          <w:sz w:val="28"/>
          <w:szCs w:val="28"/>
        </w:rPr>
        <w:t xml:space="preserve"> (развитие умственных способностей детей);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1A0"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End"/>
      <w:r w:rsidRPr="00CB61A0">
        <w:rPr>
          <w:rFonts w:ascii="Times New Roman" w:hAnsi="Times New Roman" w:cs="Times New Roman"/>
          <w:sz w:val="28"/>
          <w:szCs w:val="28"/>
        </w:rPr>
        <w:t xml:space="preserve"> (желание узнавать новое);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1A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B61A0">
        <w:rPr>
          <w:rFonts w:ascii="Times New Roman" w:hAnsi="Times New Roman" w:cs="Times New Roman"/>
          <w:sz w:val="28"/>
          <w:szCs w:val="28"/>
        </w:rPr>
        <w:t xml:space="preserve"> (применять полученные знания и умения в жизни).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Слабовидящие дети всех возрастов отстают от своих зрячих сверстников по результативности правильного выполнения задания, однако к концу дошкольного возраста при соответствующем обучении они начинают справляться с заданиями, а именно овладевают способами мысленного оперирования образами, работая в умственном плане и по правилам.</w:t>
      </w:r>
    </w:p>
    <w:p w:rsidR="00B56197" w:rsidRDefault="00B56197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56197" w:rsidSect="0080283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08"/>
          <w:docGrid w:linePitch="360"/>
        </w:sectPr>
      </w:pPr>
    </w:p>
    <w:p w:rsidR="00802831" w:rsidRDefault="00B56197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122555</wp:posOffset>
            </wp:positionV>
            <wp:extent cx="2686050" cy="2247900"/>
            <wp:effectExtent l="19050" t="0" r="0" b="0"/>
            <wp:wrapTight wrapText="bothSides">
              <wp:wrapPolygon edited="0">
                <wp:start x="-153" y="0"/>
                <wp:lineTo x="-153" y="21417"/>
                <wp:lineTo x="21600" y="21417"/>
                <wp:lineTo x="21600" y="0"/>
                <wp:lineTo x="-153" y="0"/>
              </wp:wrapPolygon>
            </wp:wrapTight>
            <wp:docPr id="85" name="Рисунок 85" descr="https://ds04.infourok.ru/uploads/ex/01c5/001362b4-14cd395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s04.infourok.ru/uploads/ex/01c5/001362b4-14cd3957/im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831" w:rsidRPr="00CB61A0">
        <w:rPr>
          <w:rFonts w:ascii="Times New Roman" w:hAnsi="Times New Roman" w:cs="Times New Roman"/>
          <w:sz w:val="28"/>
          <w:szCs w:val="28"/>
        </w:rPr>
        <w:t>Для детей с нарушениями зрения особенно важны игры с дидактическими игрушками, в процессе которых происходит развитие зрительного восприятия, развивается и укрепляется мелкая мускулатура рук, что благоприятно сказывается на умственном развитии детей, на подготовке руки ребенка к письму, к изобразительной деятельности, т. е. будущему обучению в школе.</w:t>
      </w:r>
    </w:p>
    <w:p w:rsidR="00802831" w:rsidRPr="00CB61A0" w:rsidRDefault="00802831" w:rsidP="00B56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Многие дети с нарушениями зрения не имеют возможности хорошо видеть предметы, четко различать их признаки и свойства, а нарушение бинокулярного видения, глазодвигательных функций осложняет восприятие формы, величины, пространственного расположения частей. Поэтому важно в период дошкольного детства научить их, пользуясь неполноценным зрением, правильно зрительно выделять важные, существенные признаки и свойства. В процессе восприятия предметного мира слабовидящие дети используют сохранившиеся анализаторы (слух, осязание, обоняние). С их помощью компенсируется тот недостаток информации, который обусловлен отсутствием или значительным понижением функции зрения.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Дети с нарушениями зрения лучше воспринимают изображения в цветовом исполнении, чем черно-белые, силуэтные и контурные. Восприятие цветных изображений стимулирует зрительную реакцию, активизирует зрительные функции, создает у детей положительный эмоциональный настрой.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lastRenderedPageBreak/>
        <w:t>Дидактическая игра является одним из эффективных средств сенсорного воспитания детей дошкольного возраста с ОВЗ, основным элементом которой является обучение детей способам познания.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По характеру воздействия на процесс сенсорного развития детей дидактические игры можно условно разделить на две группы: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1) дидактические игры для развития сенсорной сферы и сенсорной деятельности детей с нарушением зрения;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2) логические дидактические игры, назначение которых - смысловая систематизация чувственного опыта.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Игры первой группы развивают умения детей различать, сравнивать, выделять и называть характерные признаки и свойства предметного мира.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В играх второй группы дети учатся классификации, группировке, систематизации предметов по общим и отличительным признакам - цвету, форме, величине, пространственным характеристикам и т. д.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С целью формирования сенсорных способностей у дошкольников с нарушениями зрения мною были подобраны и изготовлены дидактические игры и игрушки с использованием нетрадиционных технологий. Такие игры и игрушки очень привлекают внимание детей своей необычностью, и дети с удовольствием играют с ними.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1A0">
        <w:rPr>
          <w:rFonts w:ascii="Times New Roman" w:hAnsi="Times New Roman" w:cs="Times New Roman"/>
          <w:sz w:val="28"/>
          <w:szCs w:val="28"/>
        </w:rPr>
        <w:t>Отличительным, универсальным характером этих игр является материал (нестандартный, бросовый, т. е. такие игры не потребуют много материальных затрат, но в то же время позволяют развивать фантазию детей и взрослых.</w:t>
      </w:r>
      <w:proofErr w:type="gramEnd"/>
      <w:r w:rsidRPr="00CB61A0">
        <w:rPr>
          <w:rFonts w:ascii="Times New Roman" w:hAnsi="Times New Roman" w:cs="Times New Roman"/>
          <w:sz w:val="28"/>
          <w:szCs w:val="28"/>
        </w:rPr>
        <w:t xml:space="preserve"> Нетрадиционные игры, как правило, мобильны и многофункциональны. Каждая новая игра входила в жизнь детей в группе, как сюрприз.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61A0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>най и назови предмет по силуэту»</w:t>
      </w:r>
      <w:r w:rsidRPr="00CB61A0">
        <w:rPr>
          <w:rFonts w:ascii="Times New Roman" w:hAnsi="Times New Roman" w:cs="Times New Roman"/>
          <w:sz w:val="28"/>
          <w:szCs w:val="28"/>
        </w:rPr>
        <w:t>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Цель: упражнять детей в узнавании и назывании предметов по силуэту: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лошадка, кольцо, елка, машина, звезда, грибок, самолет и др.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«Сгруппируй предметы»</w:t>
      </w:r>
      <w:r w:rsidRPr="00CB61A0">
        <w:rPr>
          <w:rFonts w:ascii="Times New Roman" w:hAnsi="Times New Roman" w:cs="Times New Roman"/>
          <w:sz w:val="28"/>
          <w:szCs w:val="28"/>
        </w:rPr>
        <w:t>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Цель: упражнять в умении классифицировать предметы, изображенные в таблице Орловой, по обобщающим признакам: животные, транспорт, игрушки и т. д.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Игры с прищепками – это хорошее упражнение для развития мелкой моторики, которые являются и тактильным упражнением.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Еще хочу предложить следующие нетрадиционные игры, которые разработаны для детей дошкольного возраста с ОВЗ с целью развития сенсорной сферы, мелкой моторики, логического мышления: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61A0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CB61A0">
        <w:rPr>
          <w:rFonts w:ascii="Times New Roman" w:hAnsi="Times New Roman" w:cs="Times New Roman"/>
          <w:sz w:val="28"/>
          <w:szCs w:val="28"/>
        </w:rPr>
        <w:t xml:space="preserve"> (отклей-наклей)»,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61A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B61A0">
        <w:rPr>
          <w:rFonts w:ascii="Times New Roman" w:hAnsi="Times New Roman" w:cs="Times New Roman"/>
          <w:sz w:val="28"/>
          <w:szCs w:val="28"/>
        </w:rPr>
        <w:t xml:space="preserve"> (из палочек мороженого,</w:t>
      </w:r>
      <w:proofErr w:type="gramEnd"/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lastRenderedPageBreak/>
        <w:t>«Подбери снеговикам пуговицы по цвету, величине»,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1A0">
        <w:rPr>
          <w:rFonts w:ascii="Times New Roman" w:hAnsi="Times New Roman" w:cs="Times New Roman"/>
          <w:sz w:val="28"/>
          <w:szCs w:val="28"/>
        </w:rPr>
        <w:t>«Веселый конструктор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B61A0">
        <w:rPr>
          <w:rFonts w:ascii="Times New Roman" w:hAnsi="Times New Roman" w:cs="Times New Roman"/>
          <w:sz w:val="28"/>
          <w:szCs w:val="28"/>
        </w:rPr>
        <w:t>(сделан из уплотнителей крышек и из держателей от папок,</w:t>
      </w:r>
      <w:proofErr w:type="gramEnd"/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«Цветные трубочки</w:t>
      </w:r>
      <w:r>
        <w:rPr>
          <w:rFonts w:ascii="Times New Roman" w:hAnsi="Times New Roman" w:cs="Times New Roman"/>
          <w:sz w:val="28"/>
          <w:szCs w:val="28"/>
        </w:rPr>
        <w:t>» (трубочки для коктейля),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«Разноцветные колечки»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1A0">
        <w:rPr>
          <w:rFonts w:ascii="Times New Roman" w:hAnsi="Times New Roman" w:cs="Times New Roman"/>
          <w:sz w:val="28"/>
          <w:szCs w:val="28"/>
        </w:rPr>
        <w:t>(колечки от крышек сока и воды) и др.</w:t>
      </w:r>
    </w:p>
    <w:p w:rsidR="00802831" w:rsidRPr="00CB61A0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Нетрадиционные дидактические игры и упражнения являются эффективным средством, с помощью которых у слабовидящих детей активизируются зрительные функции и познавательные процессы.</w:t>
      </w:r>
    </w:p>
    <w:p w:rsidR="00802831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A0">
        <w:rPr>
          <w:rFonts w:ascii="Times New Roman" w:hAnsi="Times New Roman" w:cs="Times New Roman"/>
          <w:sz w:val="28"/>
          <w:szCs w:val="28"/>
        </w:rPr>
        <w:t>Таким образом, можно говорить о необходимости использования дидактических игр и упражнений в коррекционной педагогической и лечебно-восстановительной работе.</w:t>
      </w:r>
    </w:p>
    <w:p w:rsidR="00802831" w:rsidRDefault="00802831" w:rsidP="0080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831" w:rsidRDefault="00802831" w:rsidP="00802831">
      <w:pPr>
        <w:spacing w:after="0"/>
        <w:ind w:firstLine="567"/>
        <w:jc w:val="center"/>
      </w:pPr>
      <w:r w:rsidRPr="00CB61A0">
        <w:t xml:space="preserve"> </w:t>
      </w:r>
    </w:p>
    <w:p w:rsidR="00802831" w:rsidRDefault="00802831" w:rsidP="00802831">
      <w:pPr>
        <w:spacing w:after="0"/>
        <w:ind w:firstLine="567"/>
        <w:jc w:val="center"/>
      </w:pPr>
    </w:p>
    <w:p w:rsidR="00802831" w:rsidRDefault="00802831" w:rsidP="00802831">
      <w:pPr>
        <w:spacing w:after="0"/>
        <w:ind w:firstLine="56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27940</wp:posOffset>
            </wp:positionV>
            <wp:extent cx="2724150" cy="2038350"/>
            <wp:effectExtent l="19050" t="0" r="0" b="0"/>
            <wp:wrapNone/>
            <wp:docPr id="88" name="Рисунок 88" descr="https://rebenkoved.ru/wp-content/uploads/2017/01/cd046be5b7776bcb4a7dfdbe0bc64e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rebenkoved.ru/wp-content/uploads/2017/01/cd046be5b7776bcb4a7dfdbe0bc64ee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8890</wp:posOffset>
            </wp:positionV>
            <wp:extent cx="2628900" cy="2057400"/>
            <wp:effectExtent l="19050" t="0" r="0" b="0"/>
            <wp:wrapNone/>
            <wp:docPr id="91" name="Рисунок 91" descr="http://900igr.net/up/datas/136691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900igr.net/up/datas/136691/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27" t="3887" r="4698" b="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831" w:rsidRDefault="00802831" w:rsidP="008028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11C0" w:rsidRDefault="007911C0"/>
    <w:sectPr w:rsidR="007911C0" w:rsidSect="00802831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02831"/>
    <w:rsid w:val="007911C0"/>
    <w:rsid w:val="00802831"/>
    <w:rsid w:val="00B5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02831"/>
    <w:rPr>
      <w:rFonts w:ascii="Times New Roman" w:hAnsi="Times New Roman" w:cs="Times New Roman"/>
      <w:spacing w:val="-20"/>
      <w:sz w:val="60"/>
      <w:szCs w:val="6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831"/>
    <w:pPr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hAnsi="Times New Roman" w:cs="Times New Roman"/>
      <w:spacing w:val="-20"/>
      <w:sz w:val="60"/>
      <w:szCs w:val="60"/>
    </w:rPr>
  </w:style>
  <w:style w:type="character" w:customStyle="1" w:styleId="3Exact">
    <w:name w:val="Основной текст (3) Exact"/>
    <w:basedOn w:val="a0"/>
    <w:link w:val="3"/>
    <w:uiPriority w:val="99"/>
    <w:locked/>
    <w:rsid w:val="00802831"/>
    <w:rPr>
      <w:rFonts w:ascii="Times New Roman" w:hAnsi="Times New Roman" w:cs="Times New Roman"/>
      <w:spacing w:val="-15"/>
      <w:sz w:val="42"/>
      <w:szCs w:val="42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802831"/>
    <w:pPr>
      <w:widowControl w:val="0"/>
      <w:shd w:val="clear" w:color="auto" w:fill="FFFFFF"/>
      <w:spacing w:after="0" w:line="522" w:lineRule="exact"/>
      <w:jc w:val="both"/>
    </w:pPr>
    <w:rPr>
      <w:rFonts w:ascii="Times New Roman" w:hAnsi="Times New Roman" w:cs="Times New Roman"/>
      <w:spacing w:val="-15"/>
      <w:sz w:val="42"/>
      <w:szCs w:val="42"/>
    </w:rPr>
  </w:style>
  <w:style w:type="paragraph" w:styleId="a3">
    <w:name w:val="Balloon Text"/>
    <w:basedOn w:val="a"/>
    <w:link w:val="a4"/>
    <w:uiPriority w:val="99"/>
    <w:semiHidden/>
    <w:unhideWhenUsed/>
    <w:rsid w:val="0080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2023-12-04T11:37:00Z</dcterms:created>
  <dcterms:modified xsi:type="dcterms:W3CDTF">2023-12-04T11:51:00Z</dcterms:modified>
</cp:coreProperties>
</file>