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C3" w:rsidRPr="005C48C3" w:rsidRDefault="005C48C3" w:rsidP="005C48C3">
      <w:pPr>
        <w:spacing w:after="200" w:line="276" w:lineRule="auto"/>
        <w:jc w:val="center"/>
        <w:rPr>
          <w:rFonts w:ascii="Times New Roman" w:eastAsia="Times New Roman" w:hAnsi="Times New Roman" w:cs="Times New Roman"/>
          <w:b/>
          <w:i/>
          <w:sz w:val="28"/>
          <w:szCs w:val="28"/>
          <w:lang w:eastAsia="ru-RU"/>
        </w:rPr>
      </w:pPr>
      <w:r w:rsidRPr="005C48C3">
        <w:rPr>
          <w:rFonts w:ascii="Times New Roman" w:eastAsia="Times New Roman" w:hAnsi="Times New Roman" w:cs="Times New Roman"/>
          <w:b/>
          <w:i/>
          <w:sz w:val="28"/>
          <w:szCs w:val="28"/>
          <w:lang w:eastAsia="ru-RU"/>
        </w:rPr>
        <w:t>Исследование кредитных предложений банков Волгограда</w:t>
      </w:r>
    </w:p>
    <w:tbl>
      <w:tblPr>
        <w:tblW w:w="0" w:type="auto"/>
        <w:tblLook w:val="04A0" w:firstRow="1" w:lastRow="0" w:firstColumn="1" w:lastColumn="0" w:noHBand="0" w:noVBand="1"/>
      </w:tblPr>
      <w:tblGrid>
        <w:gridCol w:w="4651"/>
        <w:gridCol w:w="4704"/>
      </w:tblGrid>
      <w:tr w:rsidR="005C48C3" w:rsidRPr="005C48C3" w:rsidTr="005C48C3">
        <w:tc>
          <w:tcPr>
            <w:tcW w:w="4651" w:type="dxa"/>
          </w:tcPr>
          <w:p w:rsidR="005C48C3" w:rsidRPr="005C48C3" w:rsidRDefault="005C48C3" w:rsidP="005C48C3">
            <w:pPr>
              <w:spacing w:after="0" w:line="240" w:lineRule="auto"/>
              <w:jc w:val="center"/>
              <w:rPr>
                <w:rFonts w:ascii="Times New Roman" w:eastAsia="Times New Roman" w:hAnsi="Times New Roman" w:cs="Times New Roman"/>
                <w:sz w:val="28"/>
                <w:szCs w:val="28"/>
                <w:lang w:eastAsia="ru-RU"/>
              </w:rPr>
            </w:pPr>
          </w:p>
        </w:tc>
        <w:tc>
          <w:tcPr>
            <w:tcW w:w="4704" w:type="dxa"/>
          </w:tcPr>
          <w:p w:rsidR="005C48C3" w:rsidRPr="005C48C3" w:rsidRDefault="005C48C3" w:rsidP="005C48C3">
            <w:pPr>
              <w:spacing w:after="0" w:line="240" w:lineRule="auto"/>
              <w:rPr>
                <w:rFonts w:ascii="Times New Roman" w:eastAsia="Times New Roman" w:hAnsi="Times New Roman" w:cs="Times New Roman"/>
                <w:sz w:val="28"/>
                <w:szCs w:val="28"/>
                <w:lang w:eastAsia="ru-RU"/>
              </w:rPr>
            </w:pPr>
            <w:r w:rsidRPr="005C48C3">
              <w:rPr>
                <w:rFonts w:ascii="Times New Roman" w:eastAsia="Times New Roman" w:hAnsi="Times New Roman" w:cs="Times New Roman"/>
                <w:sz w:val="28"/>
                <w:szCs w:val="28"/>
                <w:lang w:eastAsia="ru-RU"/>
              </w:rPr>
              <w:t>Выполнила:</w:t>
            </w:r>
          </w:p>
          <w:p w:rsidR="005C48C3" w:rsidRPr="005C48C3" w:rsidRDefault="005C48C3" w:rsidP="005C48C3">
            <w:pPr>
              <w:spacing w:after="0" w:line="240" w:lineRule="auto"/>
              <w:rPr>
                <w:rFonts w:ascii="Times New Roman" w:eastAsia="Times New Roman" w:hAnsi="Times New Roman" w:cs="Times New Roman"/>
                <w:sz w:val="28"/>
                <w:szCs w:val="28"/>
                <w:lang w:eastAsia="ru-RU"/>
              </w:rPr>
            </w:pPr>
            <w:r w:rsidRPr="005C48C3">
              <w:rPr>
                <w:rFonts w:ascii="Times New Roman" w:eastAsia="Times New Roman" w:hAnsi="Times New Roman" w:cs="Times New Roman"/>
                <w:sz w:val="28"/>
                <w:szCs w:val="28"/>
                <w:lang w:eastAsia="ru-RU"/>
              </w:rPr>
              <w:t xml:space="preserve">ученица 9 </w:t>
            </w:r>
            <w:proofErr w:type="gramStart"/>
            <w:r w:rsidRPr="005C48C3">
              <w:rPr>
                <w:rFonts w:ascii="Times New Roman" w:eastAsia="Times New Roman" w:hAnsi="Times New Roman" w:cs="Times New Roman"/>
                <w:sz w:val="28"/>
                <w:szCs w:val="28"/>
                <w:lang w:eastAsia="ru-RU"/>
              </w:rPr>
              <w:t>А</w:t>
            </w:r>
            <w:proofErr w:type="gramEnd"/>
            <w:r w:rsidRPr="005C48C3">
              <w:rPr>
                <w:rFonts w:ascii="Times New Roman" w:eastAsia="Times New Roman" w:hAnsi="Times New Roman" w:cs="Times New Roman"/>
                <w:sz w:val="28"/>
                <w:szCs w:val="28"/>
                <w:lang w:eastAsia="ru-RU"/>
              </w:rPr>
              <w:t xml:space="preserve"> класса</w:t>
            </w:r>
          </w:p>
          <w:p w:rsidR="005C48C3" w:rsidRPr="005C48C3" w:rsidRDefault="005C48C3" w:rsidP="005C48C3">
            <w:pPr>
              <w:spacing w:after="0" w:line="240" w:lineRule="auto"/>
              <w:rPr>
                <w:rFonts w:ascii="Times New Roman" w:eastAsia="Times New Roman" w:hAnsi="Times New Roman" w:cs="Times New Roman"/>
                <w:sz w:val="28"/>
                <w:szCs w:val="28"/>
                <w:lang w:eastAsia="ru-RU"/>
              </w:rPr>
            </w:pPr>
            <w:r w:rsidRPr="005C48C3">
              <w:rPr>
                <w:rFonts w:ascii="Times New Roman" w:eastAsia="Times New Roman" w:hAnsi="Times New Roman" w:cs="Times New Roman"/>
                <w:sz w:val="28"/>
                <w:szCs w:val="28"/>
                <w:lang w:eastAsia="ru-RU"/>
              </w:rPr>
              <w:t>Галкина Валерия Дмитриевна</w:t>
            </w:r>
          </w:p>
          <w:p w:rsidR="005C48C3" w:rsidRPr="005C48C3" w:rsidRDefault="005C48C3" w:rsidP="005C48C3">
            <w:pPr>
              <w:spacing w:after="0" w:line="240" w:lineRule="auto"/>
              <w:rPr>
                <w:rFonts w:ascii="Times New Roman" w:eastAsia="Times New Roman" w:hAnsi="Times New Roman" w:cs="Times New Roman"/>
                <w:sz w:val="28"/>
                <w:szCs w:val="28"/>
                <w:lang w:eastAsia="ru-RU"/>
              </w:rPr>
            </w:pPr>
            <w:r w:rsidRPr="005C48C3">
              <w:rPr>
                <w:rFonts w:ascii="Times New Roman" w:eastAsia="Times New Roman" w:hAnsi="Times New Roman" w:cs="Times New Roman"/>
                <w:sz w:val="28"/>
                <w:szCs w:val="28"/>
                <w:lang w:eastAsia="ru-RU"/>
              </w:rPr>
              <w:t>Учитель математики:</w:t>
            </w:r>
          </w:p>
          <w:p w:rsidR="005C48C3" w:rsidRPr="005C48C3" w:rsidRDefault="005C48C3" w:rsidP="005C48C3">
            <w:pPr>
              <w:spacing w:after="0" w:line="240" w:lineRule="auto"/>
              <w:rPr>
                <w:rFonts w:ascii="Times New Roman" w:eastAsia="Times New Roman" w:hAnsi="Times New Roman" w:cs="Times New Roman"/>
                <w:sz w:val="28"/>
                <w:szCs w:val="28"/>
                <w:lang w:eastAsia="ru-RU"/>
              </w:rPr>
            </w:pPr>
            <w:r w:rsidRPr="005C48C3">
              <w:rPr>
                <w:rFonts w:ascii="Times New Roman" w:eastAsia="Times New Roman" w:hAnsi="Times New Roman" w:cs="Times New Roman"/>
                <w:sz w:val="28"/>
                <w:szCs w:val="28"/>
                <w:lang w:eastAsia="ru-RU"/>
              </w:rPr>
              <w:t>Будилова Светлана Владимировна</w:t>
            </w:r>
          </w:p>
          <w:p w:rsidR="005C48C3" w:rsidRPr="005C48C3" w:rsidRDefault="005C48C3" w:rsidP="005C48C3">
            <w:pPr>
              <w:spacing w:after="0" w:line="240" w:lineRule="auto"/>
              <w:rPr>
                <w:rFonts w:ascii="Times New Roman" w:eastAsia="Times New Roman" w:hAnsi="Times New Roman" w:cs="Times New Roman"/>
                <w:sz w:val="28"/>
                <w:szCs w:val="28"/>
                <w:lang w:eastAsia="ru-RU"/>
              </w:rPr>
            </w:pPr>
          </w:p>
        </w:tc>
      </w:tr>
    </w:tbl>
    <w:p w:rsidR="00C041E2" w:rsidRDefault="00C041E2"/>
    <w:p w:rsidR="005C48C3" w:rsidRDefault="005C48C3"/>
    <w:p w:rsidR="005C48C3" w:rsidRPr="00DF154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Pr="00DF1543">
        <w:rPr>
          <w:rFonts w:ascii="Times New Roman" w:hAnsi="Times New Roman" w:cs="Times New Roman"/>
          <w:sz w:val="28"/>
          <w:szCs w:val="28"/>
        </w:rPr>
        <w:t xml:space="preserve"> современном обществе стало массовым использование потребительских кредитов на покупку товаров, оплату обучения и т.д. Поэтому становится важным умение рассчитать стоимость кредита. Именно этим обусловлена актуальность данного исследования.</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sidRPr="00DF1543">
        <w:rPr>
          <w:rFonts w:ascii="Times New Roman" w:hAnsi="Times New Roman" w:cs="Times New Roman"/>
          <w:sz w:val="28"/>
          <w:szCs w:val="28"/>
          <w:u w:val="single"/>
        </w:rPr>
        <w:t>Цель.</w:t>
      </w:r>
      <w:r w:rsidRPr="00DF1543">
        <w:rPr>
          <w:rFonts w:ascii="Times New Roman" w:hAnsi="Times New Roman" w:cs="Times New Roman"/>
          <w:sz w:val="28"/>
          <w:szCs w:val="28"/>
        </w:rPr>
        <w:t xml:space="preserve"> </w:t>
      </w:r>
      <w:r w:rsidR="006A06F9">
        <w:rPr>
          <w:rFonts w:ascii="Times New Roman" w:hAnsi="Times New Roman" w:cs="Times New Roman"/>
          <w:sz w:val="28"/>
          <w:szCs w:val="28"/>
        </w:rPr>
        <w:t>И</w:t>
      </w:r>
      <w:r w:rsidRPr="00DF1543">
        <w:rPr>
          <w:rFonts w:ascii="Times New Roman" w:hAnsi="Times New Roman" w:cs="Times New Roman"/>
          <w:sz w:val="28"/>
          <w:szCs w:val="28"/>
        </w:rPr>
        <w:t xml:space="preserve">сследовать вопрос </w:t>
      </w:r>
      <w:r w:rsidR="006A06F9">
        <w:rPr>
          <w:rFonts w:ascii="Times New Roman" w:hAnsi="Times New Roman" w:cs="Times New Roman"/>
          <w:sz w:val="28"/>
          <w:szCs w:val="28"/>
        </w:rPr>
        <w:t>о</w:t>
      </w:r>
      <w:r w:rsidRPr="00DF1543">
        <w:rPr>
          <w:rFonts w:ascii="Times New Roman" w:hAnsi="Times New Roman" w:cs="Times New Roman"/>
          <w:sz w:val="28"/>
          <w:szCs w:val="28"/>
        </w:rPr>
        <w:t xml:space="preserve"> применении </w:t>
      </w:r>
      <w:r w:rsidR="006A06F9">
        <w:rPr>
          <w:rFonts w:ascii="Times New Roman" w:hAnsi="Times New Roman" w:cs="Times New Roman"/>
          <w:sz w:val="28"/>
          <w:szCs w:val="28"/>
        </w:rPr>
        <w:t xml:space="preserve">теории процентов </w:t>
      </w:r>
      <w:bookmarkStart w:id="0" w:name="_GoBack"/>
      <w:bookmarkEnd w:id="0"/>
      <w:r w:rsidRPr="00DF1543">
        <w:rPr>
          <w:rFonts w:ascii="Times New Roman" w:hAnsi="Times New Roman" w:cs="Times New Roman"/>
          <w:sz w:val="28"/>
          <w:szCs w:val="28"/>
        </w:rPr>
        <w:t>при математическом моделировании банковских операций.</w:t>
      </w:r>
    </w:p>
    <w:p w:rsidR="005C48C3" w:rsidRPr="00DF1543" w:rsidRDefault="005C48C3" w:rsidP="005C48C3">
      <w:pPr>
        <w:spacing w:line="360" w:lineRule="auto"/>
        <w:ind w:firstLine="851"/>
        <w:contextualSpacing/>
        <w:jc w:val="both"/>
        <w:rPr>
          <w:rFonts w:ascii="Times New Roman" w:hAnsi="Times New Roman" w:cs="Times New Roman"/>
          <w:sz w:val="28"/>
          <w:szCs w:val="28"/>
          <w:u w:val="single"/>
        </w:rPr>
      </w:pPr>
      <w:r w:rsidRPr="00DF1543">
        <w:rPr>
          <w:rFonts w:ascii="Times New Roman" w:hAnsi="Times New Roman" w:cs="Times New Roman"/>
          <w:sz w:val="28"/>
          <w:szCs w:val="28"/>
          <w:u w:val="single"/>
        </w:rPr>
        <w:t>Задачи:</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F1543">
        <w:rPr>
          <w:rFonts w:ascii="Times New Roman" w:hAnsi="Times New Roman" w:cs="Times New Roman"/>
          <w:sz w:val="28"/>
          <w:szCs w:val="28"/>
        </w:rPr>
        <w:t>Рассмотреть теорию процентов как основу математического описания банковских операций.</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DF1543">
        <w:rPr>
          <w:rFonts w:ascii="Times New Roman" w:hAnsi="Times New Roman" w:cs="Times New Roman"/>
          <w:sz w:val="28"/>
          <w:szCs w:val="28"/>
        </w:rPr>
        <w:t>Рассмотреть свойства арифметической и геометрической прогрессий и их применении в моделировании конкретных операций.</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Рассмотреть методы решения практических задач на кредиты.</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F1543">
        <w:rPr>
          <w:rFonts w:ascii="Times New Roman" w:hAnsi="Times New Roman" w:cs="Times New Roman"/>
          <w:sz w:val="28"/>
          <w:szCs w:val="28"/>
        </w:rPr>
        <w:t xml:space="preserve">Показать практическое применение </w:t>
      </w:r>
      <w:r>
        <w:rPr>
          <w:rFonts w:ascii="Times New Roman" w:hAnsi="Times New Roman" w:cs="Times New Roman"/>
          <w:sz w:val="28"/>
          <w:szCs w:val="28"/>
        </w:rPr>
        <w:t xml:space="preserve">теории </w:t>
      </w:r>
      <w:r w:rsidRPr="00DF1543">
        <w:rPr>
          <w:rFonts w:ascii="Times New Roman" w:hAnsi="Times New Roman" w:cs="Times New Roman"/>
          <w:sz w:val="28"/>
          <w:szCs w:val="28"/>
        </w:rPr>
        <w:t>процентов на примере исследования рынка банковских услуг Волгоградской области.</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sidRPr="00DF1543">
        <w:rPr>
          <w:rFonts w:ascii="Times New Roman" w:hAnsi="Times New Roman" w:cs="Times New Roman"/>
          <w:sz w:val="28"/>
          <w:szCs w:val="28"/>
          <w:u w:val="single"/>
        </w:rPr>
        <w:t>Объект исследования:</w:t>
      </w:r>
      <w:r w:rsidRPr="00DF1543">
        <w:rPr>
          <w:rFonts w:ascii="Times New Roman" w:hAnsi="Times New Roman" w:cs="Times New Roman"/>
          <w:sz w:val="28"/>
          <w:szCs w:val="28"/>
        </w:rPr>
        <w:t xml:space="preserve"> математические модели банковских операций. </w:t>
      </w:r>
    </w:p>
    <w:p w:rsidR="005C48C3" w:rsidRPr="00DF1543" w:rsidRDefault="005C48C3" w:rsidP="005C48C3">
      <w:pPr>
        <w:spacing w:line="360" w:lineRule="auto"/>
        <w:ind w:firstLine="851"/>
        <w:contextualSpacing/>
        <w:jc w:val="both"/>
        <w:rPr>
          <w:rFonts w:ascii="Times New Roman" w:hAnsi="Times New Roman" w:cs="Times New Roman"/>
          <w:sz w:val="28"/>
          <w:szCs w:val="28"/>
        </w:rPr>
      </w:pPr>
      <w:r w:rsidRPr="00DF1543">
        <w:rPr>
          <w:rFonts w:ascii="Times New Roman" w:hAnsi="Times New Roman" w:cs="Times New Roman"/>
          <w:sz w:val="28"/>
          <w:szCs w:val="28"/>
          <w:u w:val="single"/>
        </w:rPr>
        <w:t>Предмет исследования:</w:t>
      </w:r>
      <w:r w:rsidRPr="00DF1543">
        <w:rPr>
          <w:rFonts w:ascii="Times New Roman" w:hAnsi="Times New Roman" w:cs="Times New Roman"/>
          <w:sz w:val="28"/>
          <w:szCs w:val="28"/>
        </w:rPr>
        <w:t xml:space="preserve"> применение простых и сложных процентов для банковских расчетов.</w:t>
      </w:r>
    </w:p>
    <w:p w:rsidR="005C48C3" w:rsidRDefault="005C48C3"/>
    <w:p w:rsidR="005C48C3" w:rsidRPr="00C13561"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Рассмотрим предложения банков</w:t>
      </w:r>
      <w:r w:rsidRPr="00C13561">
        <w:rPr>
          <w:rFonts w:ascii="Times New Roman" w:hAnsi="Times New Roman" w:cs="Times New Roman"/>
          <w:sz w:val="28"/>
          <w:szCs w:val="28"/>
        </w:rPr>
        <w:t xml:space="preserve"> в Волгоградской области выгодного кредита на обучение. Посчитав приблизительно, сколько мне понадобится на первый год обу</w:t>
      </w:r>
      <w:r>
        <w:rPr>
          <w:rFonts w:ascii="Times New Roman" w:hAnsi="Times New Roman" w:cs="Times New Roman"/>
          <w:sz w:val="28"/>
          <w:szCs w:val="28"/>
        </w:rPr>
        <w:t xml:space="preserve">чения, я получила сумму 100 </w:t>
      </w:r>
      <w:r w:rsidRPr="00C13561">
        <w:rPr>
          <w:rFonts w:ascii="Times New Roman" w:hAnsi="Times New Roman" w:cs="Times New Roman"/>
          <w:sz w:val="28"/>
          <w:szCs w:val="28"/>
        </w:rPr>
        <w:t xml:space="preserve">000 рублей. </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Итак, я решила поставить следующие условия кредитования, выгодные для меня, и рассмотреть, какие банки выдают кредиты по следующим параметрам:</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Pr="00C13561">
        <w:rPr>
          <w:rFonts w:ascii="Times New Roman" w:hAnsi="Times New Roman" w:cs="Times New Roman"/>
          <w:sz w:val="28"/>
          <w:szCs w:val="28"/>
        </w:rPr>
        <w:t>– образование,</w:t>
      </w:r>
      <w:r>
        <w:rPr>
          <w:rFonts w:ascii="Times New Roman" w:hAnsi="Times New Roman" w:cs="Times New Roman"/>
          <w:sz w:val="28"/>
          <w:szCs w:val="28"/>
        </w:rPr>
        <w:t xml:space="preserve"> </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Сумма – 100 </w:t>
      </w:r>
      <w:r w:rsidRPr="00C13561">
        <w:rPr>
          <w:rFonts w:ascii="Times New Roman" w:hAnsi="Times New Roman" w:cs="Times New Roman"/>
          <w:sz w:val="28"/>
          <w:szCs w:val="28"/>
        </w:rPr>
        <w:t>000 рублей,</w:t>
      </w:r>
    </w:p>
    <w:p w:rsidR="005C48C3"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Залог и поручительство – без залога и поручительства,</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Срок – от 6 месяцев до 12 месяцев</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Это были основные требования для взятия мною кредита. Моей целью стал сбор, обработка и анализ информации, полученной от банков.</w:t>
      </w:r>
    </w:p>
    <w:p w:rsidR="005C48C3"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По моим критериям мне подошл</w:t>
      </w:r>
      <w:r>
        <w:rPr>
          <w:rFonts w:ascii="Times New Roman" w:hAnsi="Times New Roman" w:cs="Times New Roman"/>
          <w:sz w:val="28"/>
          <w:szCs w:val="28"/>
        </w:rPr>
        <w:t>и предложения</w:t>
      </w:r>
      <w:r w:rsidRPr="00C13561">
        <w:rPr>
          <w:rFonts w:ascii="Times New Roman" w:hAnsi="Times New Roman" w:cs="Times New Roman"/>
          <w:sz w:val="28"/>
          <w:szCs w:val="28"/>
        </w:rPr>
        <w:t xml:space="preserve"> только 3 банк</w:t>
      </w:r>
      <w:r>
        <w:rPr>
          <w:rFonts w:ascii="Times New Roman" w:hAnsi="Times New Roman" w:cs="Times New Roman"/>
          <w:sz w:val="28"/>
          <w:szCs w:val="28"/>
        </w:rPr>
        <w:t>ов</w:t>
      </w:r>
      <w:r w:rsidRPr="00C13561">
        <w:rPr>
          <w:rFonts w:ascii="Times New Roman" w:hAnsi="Times New Roman" w:cs="Times New Roman"/>
          <w:sz w:val="28"/>
          <w:szCs w:val="28"/>
        </w:rPr>
        <w:t xml:space="preserve"> Волгоградской области, хотя </w:t>
      </w:r>
      <w:r>
        <w:rPr>
          <w:rFonts w:ascii="Times New Roman" w:hAnsi="Times New Roman" w:cs="Times New Roman"/>
          <w:sz w:val="28"/>
          <w:szCs w:val="28"/>
        </w:rPr>
        <w:t>всего банков</w:t>
      </w:r>
      <w:r w:rsidRPr="00C13561">
        <w:rPr>
          <w:rFonts w:ascii="Times New Roman" w:hAnsi="Times New Roman" w:cs="Times New Roman"/>
          <w:sz w:val="28"/>
          <w:szCs w:val="28"/>
        </w:rPr>
        <w:t xml:space="preserve"> намного больше. Итак, я буду рассматривать следующие банки: «Сбербанк России</w:t>
      </w:r>
      <w:r>
        <w:rPr>
          <w:rFonts w:ascii="Times New Roman" w:hAnsi="Times New Roman" w:cs="Times New Roman"/>
          <w:sz w:val="28"/>
          <w:szCs w:val="28"/>
        </w:rPr>
        <w:t>», «Лето Банк», «</w:t>
      </w:r>
      <w:proofErr w:type="spellStart"/>
      <w:r>
        <w:rPr>
          <w:rFonts w:ascii="Times New Roman" w:hAnsi="Times New Roman" w:cs="Times New Roman"/>
          <w:sz w:val="28"/>
          <w:szCs w:val="28"/>
        </w:rPr>
        <w:t>РосинтерБанк</w:t>
      </w:r>
      <w:proofErr w:type="spellEnd"/>
      <w:r>
        <w:rPr>
          <w:rFonts w:ascii="Times New Roman" w:hAnsi="Times New Roman" w:cs="Times New Roman"/>
          <w:sz w:val="28"/>
          <w:szCs w:val="28"/>
        </w:rPr>
        <w:t>».</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 xml:space="preserve">Исследуемые мною банки предлагают своим клиентам возможность выбрать вид платежа: </w:t>
      </w:r>
      <w:proofErr w:type="spellStart"/>
      <w:r w:rsidRPr="00C13561">
        <w:rPr>
          <w:rFonts w:ascii="Times New Roman" w:hAnsi="Times New Roman" w:cs="Times New Roman"/>
          <w:sz w:val="28"/>
          <w:szCs w:val="28"/>
        </w:rPr>
        <w:t>аннуитетный</w:t>
      </w:r>
      <w:proofErr w:type="spellEnd"/>
      <w:r w:rsidRPr="00C13561">
        <w:rPr>
          <w:rFonts w:ascii="Times New Roman" w:hAnsi="Times New Roman" w:cs="Times New Roman"/>
          <w:sz w:val="28"/>
          <w:szCs w:val="28"/>
        </w:rPr>
        <w:t xml:space="preserve"> (каждый месяц вносить равные платежи) или дифференцированный (каждый месяц сумма платежа уменьшается за счет начисления процентов на остаток). Для меня стал более выгодным дифференцированный платеж. Его и рассмотрим.</w:t>
      </w:r>
    </w:p>
    <w:p w:rsidR="005C48C3" w:rsidRDefault="005C48C3" w:rsidP="005C48C3">
      <w:pPr>
        <w:spacing w:line="360" w:lineRule="auto"/>
        <w:ind w:firstLine="567"/>
        <w:contextualSpacing/>
        <w:jc w:val="both"/>
        <w:rPr>
          <w:rFonts w:ascii="Times New Roman" w:hAnsi="Times New Roman" w:cs="Times New Roman"/>
          <w:sz w:val="28"/>
          <w:szCs w:val="28"/>
        </w:rPr>
      </w:pPr>
    </w:p>
    <w:p w:rsidR="005C48C3" w:rsidRPr="00C13561" w:rsidRDefault="005C48C3" w:rsidP="005C48C3">
      <w:pPr>
        <w:spacing w:line="360" w:lineRule="auto"/>
        <w:ind w:firstLine="567"/>
        <w:contextualSpacing/>
        <w:jc w:val="both"/>
        <w:rPr>
          <w:rFonts w:ascii="Times New Roman" w:hAnsi="Times New Roman" w:cs="Times New Roman"/>
          <w:sz w:val="28"/>
          <w:szCs w:val="28"/>
        </w:rPr>
      </w:pPr>
      <w:r w:rsidRPr="00C13561">
        <w:rPr>
          <w:rFonts w:ascii="Times New Roman" w:hAnsi="Times New Roman" w:cs="Times New Roman"/>
          <w:sz w:val="28"/>
          <w:szCs w:val="28"/>
        </w:rPr>
        <w:t>Для удобства понимания я сводила все данные в таблицы (таблицы 1-2).</w:t>
      </w:r>
    </w:p>
    <w:tbl>
      <w:tblPr>
        <w:tblStyle w:val="a3"/>
        <w:tblW w:w="0" w:type="auto"/>
        <w:tblInd w:w="-289" w:type="dxa"/>
        <w:tblLayout w:type="fixed"/>
        <w:tblLook w:val="04A0" w:firstRow="1" w:lastRow="0" w:firstColumn="1" w:lastColumn="0" w:noHBand="0" w:noVBand="1"/>
      </w:tblPr>
      <w:tblGrid>
        <w:gridCol w:w="1951"/>
        <w:gridCol w:w="2410"/>
        <w:gridCol w:w="2693"/>
        <w:gridCol w:w="2517"/>
      </w:tblGrid>
      <w:tr w:rsidR="005C48C3" w:rsidRPr="00C13561" w:rsidTr="005C48C3">
        <w:tc>
          <w:tcPr>
            <w:tcW w:w="1951" w:type="dxa"/>
          </w:tcPr>
          <w:p w:rsidR="005C48C3" w:rsidRPr="00C13561" w:rsidRDefault="005C48C3" w:rsidP="00AD5152">
            <w:pPr>
              <w:spacing w:line="360" w:lineRule="auto"/>
              <w:ind w:firstLine="851"/>
              <w:contextualSpacing/>
              <w:jc w:val="both"/>
              <w:rPr>
                <w:sz w:val="28"/>
                <w:szCs w:val="28"/>
              </w:rPr>
            </w:pPr>
          </w:p>
        </w:tc>
        <w:tc>
          <w:tcPr>
            <w:tcW w:w="2410" w:type="dxa"/>
          </w:tcPr>
          <w:p w:rsidR="005C48C3" w:rsidRPr="00C13561" w:rsidRDefault="005C48C3" w:rsidP="00AD5152">
            <w:pPr>
              <w:spacing w:line="360" w:lineRule="auto"/>
              <w:contextualSpacing/>
              <w:jc w:val="both"/>
              <w:rPr>
                <w:sz w:val="28"/>
                <w:szCs w:val="28"/>
              </w:rPr>
            </w:pPr>
            <w:r w:rsidRPr="00C13561">
              <w:rPr>
                <w:sz w:val="28"/>
                <w:szCs w:val="28"/>
              </w:rPr>
              <w:t>Сбербанк России</w:t>
            </w:r>
          </w:p>
        </w:tc>
        <w:tc>
          <w:tcPr>
            <w:tcW w:w="2693" w:type="dxa"/>
          </w:tcPr>
          <w:p w:rsidR="005C48C3" w:rsidRPr="00C13561" w:rsidRDefault="005C48C3" w:rsidP="00AD5152">
            <w:pPr>
              <w:spacing w:line="360" w:lineRule="auto"/>
              <w:contextualSpacing/>
              <w:jc w:val="both"/>
              <w:rPr>
                <w:sz w:val="28"/>
                <w:szCs w:val="28"/>
              </w:rPr>
            </w:pPr>
            <w:r w:rsidRPr="00C13561">
              <w:rPr>
                <w:sz w:val="28"/>
                <w:szCs w:val="28"/>
              </w:rPr>
              <w:t>Лето Банк</w:t>
            </w:r>
          </w:p>
        </w:tc>
        <w:tc>
          <w:tcPr>
            <w:tcW w:w="2517" w:type="dxa"/>
          </w:tcPr>
          <w:p w:rsidR="005C48C3" w:rsidRPr="00C13561" w:rsidRDefault="005C48C3" w:rsidP="00AD5152">
            <w:pPr>
              <w:spacing w:line="360" w:lineRule="auto"/>
              <w:contextualSpacing/>
              <w:jc w:val="both"/>
              <w:rPr>
                <w:sz w:val="28"/>
                <w:szCs w:val="28"/>
              </w:rPr>
            </w:pPr>
            <w:proofErr w:type="spellStart"/>
            <w:r w:rsidRPr="00C13561">
              <w:rPr>
                <w:sz w:val="28"/>
                <w:szCs w:val="28"/>
              </w:rPr>
              <w:t>РосинтерБанк</w:t>
            </w:r>
            <w:proofErr w:type="spellEnd"/>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Минимальная ставка</w:t>
            </w:r>
          </w:p>
        </w:tc>
        <w:tc>
          <w:tcPr>
            <w:tcW w:w="2410" w:type="dxa"/>
          </w:tcPr>
          <w:p w:rsidR="005C48C3" w:rsidRPr="00C13561" w:rsidRDefault="005C48C3" w:rsidP="00AD5152">
            <w:pPr>
              <w:spacing w:line="360" w:lineRule="auto"/>
              <w:ind w:firstLine="851"/>
              <w:contextualSpacing/>
              <w:jc w:val="both"/>
              <w:rPr>
                <w:sz w:val="28"/>
                <w:szCs w:val="28"/>
              </w:rPr>
            </w:pPr>
            <w:r w:rsidRPr="00C13561">
              <w:rPr>
                <w:sz w:val="28"/>
                <w:szCs w:val="28"/>
              </w:rPr>
              <w:t>7,06%</w:t>
            </w:r>
          </w:p>
        </w:tc>
        <w:tc>
          <w:tcPr>
            <w:tcW w:w="2693" w:type="dxa"/>
          </w:tcPr>
          <w:p w:rsidR="005C48C3" w:rsidRPr="00C13561" w:rsidRDefault="005C48C3" w:rsidP="00AD5152">
            <w:pPr>
              <w:spacing w:line="360" w:lineRule="auto"/>
              <w:ind w:firstLine="851"/>
              <w:contextualSpacing/>
              <w:jc w:val="both"/>
              <w:rPr>
                <w:sz w:val="28"/>
                <w:szCs w:val="28"/>
              </w:rPr>
            </w:pPr>
            <w:r w:rsidRPr="00C13561">
              <w:rPr>
                <w:sz w:val="28"/>
                <w:szCs w:val="28"/>
              </w:rPr>
              <w:t>19,9%</w:t>
            </w:r>
          </w:p>
        </w:tc>
        <w:tc>
          <w:tcPr>
            <w:tcW w:w="2517" w:type="dxa"/>
          </w:tcPr>
          <w:p w:rsidR="005C48C3" w:rsidRPr="00C13561" w:rsidRDefault="005C48C3" w:rsidP="00AD5152">
            <w:pPr>
              <w:spacing w:line="360" w:lineRule="auto"/>
              <w:ind w:firstLine="851"/>
              <w:contextualSpacing/>
              <w:jc w:val="both"/>
              <w:rPr>
                <w:sz w:val="28"/>
                <w:szCs w:val="28"/>
              </w:rPr>
            </w:pPr>
            <w:r w:rsidRPr="00C13561">
              <w:rPr>
                <w:sz w:val="28"/>
                <w:szCs w:val="28"/>
              </w:rPr>
              <w:t>14,2%</w:t>
            </w:r>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Комиссия</w:t>
            </w:r>
          </w:p>
        </w:tc>
        <w:tc>
          <w:tcPr>
            <w:tcW w:w="2410" w:type="dxa"/>
          </w:tcPr>
          <w:p w:rsidR="005C48C3" w:rsidRPr="00C13561" w:rsidRDefault="005C48C3" w:rsidP="00AD5152">
            <w:pPr>
              <w:spacing w:line="360" w:lineRule="auto"/>
              <w:ind w:firstLine="851"/>
              <w:contextualSpacing/>
              <w:jc w:val="both"/>
              <w:rPr>
                <w:sz w:val="28"/>
                <w:szCs w:val="28"/>
              </w:rPr>
            </w:pPr>
            <w:r w:rsidRPr="00C13561">
              <w:rPr>
                <w:sz w:val="28"/>
                <w:szCs w:val="28"/>
              </w:rPr>
              <w:t>Нет</w:t>
            </w:r>
          </w:p>
        </w:tc>
        <w:tc>
          <w:tcPr>
            <w:tcW w:w="2693" w:type="dxa"/>
          </w:tcPr>
          <w:p w:rsidR="005C48C3" w:rsidRPr="00C13561" w:rsidRDefault="005C48C3" w:rsidP="00AD5152">
            <w:pPr>
              <w:spacing w:line="360" w:lineRule="auto"/>
              <w:ind w:firstLine="851"/>
              <w:contextualSpacing/>
              <w:jc w:val="both"/>
              <w:rPr>
                <w:sz w:val="28"/>
                <w:szCs w:val="28"/>
              </w:rPr>
            </w:pPr>
            <w:r w:rsidRPr="00C13561">
              <w:rPr>
                <w:sz w:val="28"/>
                <w:szCs w:val="28"/>
              </w:rPr>
              <w:t>Нет</w:t>
            </w:r>
          </w:p>
        </w:tc>
        <w:tc>
          <w:tcPr>
            <w:tcW w:w="2517" w:type="dxa"/>
          </w:tcPr>
          <w:p w:rsidR="005C48C3" w:rsidRPr="00C13561" w:rsidRDefault="005C48C3" w:rsidP="00AD5152">
            <w:pPr>
              <w:spacing w:line="360" w:lineRule="auto"/>
              <w:ind w:firstLine="851"/>
              <w:contextualSpacing/>
              <w:jc w:val="both"/>
              <w:rPr>
                <w:sz w:val="28"/>
                <w:szCs w:val="28"/>
              </w:rPr>
            </w:pPr>
            <w:r w:rsidRPr="00C13561">
              <w:rPr>
                <w:sz w:val="28"/>
                <w:szCs w:val="28"/>
              </w:rPr>
              <w:t>Нет</w:t>
            </w:r>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Подтверждение дохода</w:t>
            </w:r>
          </w:p>
        </w:tc>
        <w:tc>
          <w:tcPr>
            <w:tcW w:w="2410" w:type="dxa"/>
          </w:tcPr>
          <w:p w:rsidR="005C48C3" w:rsidRPr="00C13561" w:rsidRDefault="005C48C3" w:rsidP="00AD5152">
            <w:pPr>
              <w:spacing w:line="360" w:lineRule="auto"/>
              <w:contextualSpacing/>
              <w:jc w:val="both"/>
              <w:rPr>
                <w:sz w:val="28"/>
                <w:szCs w:val="28"/>
              </w:rPr>
            </w:pPr>
            <w:r w:rsidRPr="00C13561">
              <w:rPr>
                <w:sz w:val="28"/>
                <w:szCs w:val="28"/>
              </w:rPr>
              <w:t>Не требуется</w:t>
            </w:r>
          </w:p>
        </w:tc>
        <w:tc>
          <w:tcPr>
            <w:tcW w:w="2693" w:type="dxa"/>
          </w:tcPr>
          <w:p w:rsidR="005C48C3" w:rsidRPr="00C13561" w:rsidRDefault="005C48C3" w:rsidP="00AD5152">
            <w:pPr>
              <w:spacing w:line="360" w:lineRule="auto"/>
              <w:contextualSpacing/>
              <w:jc w:val="both"/>
              <w:rPr>
                <w:sz w:val="28"/>
                <w:szCs w:val="28"/>
              </w:rPr>
            </w:pPr>
            <w:r w:rsidRPr="00C13561">
              <w:rPr>
                <w:sz w:val="28"/>
                <w:szCs w:val="28"/>
              </w:rPr>
              <w:t>Требуется</w:t>
            </w:r>
          </w:p>
        </w:tc>
        <w:tc>
          <w:tcPr>
            <w:tcW w:w="2517" w:type="dxa"/>
          </w:tcPr>
          <w:p w:rsidR="005C48C3" w:rsidRPr="00C13561" w:rsidRDefault="005C48C3" w:rsidP="00AD5152">
            <w:pPr>
              <w:spacing w:line="360" w:lineRule="auto"/>
              <w:contextualSpacing/>
              <w:jc w:val="both"/>
              <w:rPr>
                <w:sz w:val="28"/>
                <w:szCs w:val="28"/>
              </w:rPr>
            </w:pPr>
            <w:r w:rsidRPr="00C13561">
              <w:rPr>
                <w:sz w:val="28"/>
                <w:szCs w:val="28"/>
              </w:rPr>
              <w:t>Не требуется</w:t>
            </w:r>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Рассмотрение заявки</w:t>
            </w:r>
          </w:p>
        </w:tc>
        <w:tc>
          <w:tcPr>
            <w:tcW w:w="2410" w:type="dxa"/>
          </w:tcPr>
          <w:p w:rsidR="005C48C3" w:rsidRPr="00C13561" w:rsidRDefault="005C48C3" w:rsidP="00AD5152">
            <w:pPr>
              <w:spacing w:line="360" w:lineRule="auto"/>
              <w:contextualSpacing/>
              <w:jc w:val="both"/>
              <w:rPr>
                <w:sz w:val="28"/>
                <w:szCs w:val="28"/>
              </w:rPr>
            </w:pPr>
            <w:r>
              <w:rPr>
                <w:sz w:val="28"/>
                <w:szCs w:val="28"/>
              </w:rPr>
              <w:t xml:space="preserve">За 7 </w:t>
            </w:r>
            <w:r w:rsidRPr="00C13561">
              <w:rPr>
                <w:sz w:val="28"/>
                <w:szCs w:val="28"/>
              </w:rPr>
              <w:t>дней</w:t>
            </w:r>
          </w:p>
        </w:tc>
        <w:tc>
          <w:tcPr>
            <w:tcW w:w="2693" w:type="dxa"/>
          </w:tcPr>
          <w:p w:rsidR="005C48C3" w:rsidRPr="00C13561" w:rsidRDefault="005C48C3" w:rsidP="00AD5152">
            <w:pPr>
              <w:spacing w:line="360" w:lineRule="auto"/>
              <w:ind w:firstLine="851"/>
              <w:contextualSpacing/>
              <w:jc w:val="both"/>
              <w:rPr>
                <w:sz w:val="28"/>
                <w:szCs w:val="28"/>
              </w:rPr>
            </w:pPr>
            <w:r>
              <w:rPr>
                <w:sz w:val="28"/>
                <w:szCs w:val="28"/>
              </w:rPr>
              <w:t xml:space="preserve">За 1 </w:t>
            </w:r>
            <w:r w:rsidRPr="00C13561">
              <w:rPr>
                <w:sz w:val="28"/>
                <w:szCs w:val="28"/>
              </w:rPr>
              <w:t>дней</w:t>
            </w:r>
          </w:p>
        </w:tc>
        <w:tc>
          <w:tcPr>
            <w:tcW w:w="2517" w:type="dxa"/>
          </w:tcPr>
          <w:p w:rsidR="005C48C3" w:rsidRPr="00C13561" w:rsidRDefault="005C48C3" w:rsidP="00AD5152">
            <w:pPr>
              <w:spacing w:line="360" w:lineRule="auto"/>
              <w:ind w:firstLine="851"/>
              <w:contextualSpacing/>
              <w:jc w:val="both"/>
              <w:rPr>
                <w:sz w:val="28"/>
                <w:szCs w:val="28"/>
              </w:rPr>
            </w:pPr>
            <w:r>
              <w:rPr>
                <w:sz w:val="28"/>
                <w:szCs w:val="28"/>
              </w:rPr>
              <w:t xml:space="preserve">За 7 </w:t>
            </w:r>
            <w:r w:rsidRPr="00C13561">
              <w:rPr>
                <w:sz w:val="28"/>
                <w:szCs w:val="28"/>
              </w:rPr>
              <w:t>дней</w:t>
            </w:r>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Досрочное погашение</w:t>
            </w:r>
          </w:p>
        </w:tc>
        <w:tc>
          <w:tcPr>
            <w:tcW w:w="2410" w:type="dxa"/>
          </w:tcPr>
          <w:p w:rsidR="005C48C3" w:rsidRPr="00C13561" w:rsidRDefault="005C48C3" w:rsidP="00AD5152">
            <w:pPr>
              <w:spacing w:line="360" w:lineRule="auto"/>
              <w:contextualSpacing/>
              <w:jc w:val="both"/>
              <w:rPr>
                <w:sz w:val="28"/>
                <w:szCs w:val="28"/>
              </w:rPr>
            </w:pPr>
            <w:r w:rsidRPr="00C13561">
              <w:rPr>
                <w:sz w:val="28"/>
                <w:szCs w:val="28"/>
              </w:rPr>
              <w:t>Возможно</w:t>
            </w:r>
          </w:p>
        </w:tc>
        <w:tc>
          <w:tcPr>
            <w:tcW w:w="2693" w:type="dxa"/>
          </w:tcPr>
          <w:p w:rsidR="005C48C3" w:rsidRPr="00C13561" w:rsidRDefault="005C48C3" w:rsidP="00AD5152">
            <w:pPr>
              <w:spacing w:line="360" w:lineRule="auto"/>
              <w:contextualSpacing/>
              <w:jc w:val="both"/>
              <w:rPr>
                <w:sz w:val="28"/>
                <w:szCs w:val="28"/>
              </w:rPr>
            </w:pPr>
            <w:r w:rsidRPr="00C13561">
              <w:rPr>
                <w:sz w:val="28"/>
                <w:szCs w:val="28"/>
              </w:rPr>
              <w:t>Невозможно</w:t>
            </w:r>
          </w:p>
        </w:tc>
        <w:tc>
          <w:tcPr>
            <w:tcW w:w="2517" w:type="dxa"/>
          </w:tcPr>
          <w:p w:rsidR="005C48C3" w:rsidRPr="00C13561" w:rsidRDefault="005C48C3" w:rsidP="00AD5152">
            <w:pPr>
              <w:spacing w:line="360" w:lineRule="auto"/>
              <w:ind w:firstLine="851"/>
              <w:contextualSpacing/>
              <w:jc w:val="both"/>
              <w:rPr>
                <w:sz w:val="28"/>
                <w:szCs w:val="28"/>
              </w:rPr>
            </w:pPr>
            <w:r w:rsidRPr="00C13561">
              <w:rPr>
                <w:sz w:val="28"/>
                <w:szCs w:val="28"/>
              </w:rPr>
              <w:t>Возможно</w:t>
            </w:r>
          </w:p>
        </w:tc>
      </w:tr>
      <w:tr w:rsidR="005C48C3" w:rsidRPr="00C13561" w:rsidTr="005C48C3">
        <w:tc>
          <w:tcPr>
            <w:tcW w:w="1951" w:type="dxa"/>
          </w:tcPr>
          <w:p w:rsidR="005C48C3" w:rsidRPr="00C13561" w:rsidRDefault="005C48C3" w:rsidP="00AD5152">
            <w:pPr>
              <w:spacing w:line="360" w:lineRule="auto"/>
              <w:contextualSpacing/>
              <w:jc w:val="both"/>
              <w:rPr>
                <w:sz w:val="28"/>
                <w:szCs w:val="28"/>
              </w:rPr>
            </w:pPr>
            <w:r w:rsidRPr="00C13561">
              <w:rPr>
                <w:sz w:val="28"/>
                <w:szCs w:val="28"/>
              </w:rPr>
              <w:t>Требуемые документы</w:t>
            </w:r>
          </w:p>
        </w:tc>
        <w:tc>
          <w:tcPr>
            <w:tcW w:w="2410" w:type="dxa"/>
          </w:tcPr>
          <w:p w:rsidR="005C48C3" w:rsidRPr="00C13561" w:rsidRDefault="005C48C3" w:rsidP="00AD5152">
            <w:pPr>
              <w:spacing w:line="360" w:lineRule="auto"/>
              <w:contextualSpacing/>
              <w:rPr>
                <w:sz w:val="28"/>
                <w:szCs w:val="28"/>
              </w:rPr>
            </w:pPr>
            <w:r>
              <w:rPr>
                <w:sz w:val="28"/>
                <w:szCs w:val="28"/>
              </w:rPr>
              <w:t>Д</w:t>
            </w:r>
            <w:r w:rsidRPr="00C13561">
              <w:rPr>
                <w:sz w:val="28"/>
                <w:szCs w:val="28"/>
              </w:rPr>
              <w:t xml:space="preserve">оговор о предоставлении платных </w:t>
            </w:r>
            <w:r w:rsidRPr="00C13561">
              <w:rPr>
                <w:sz w:val="28"/>
                <w:szCs w:val="28"/>
              </w:rPr>
              <w:lastRenderedPageBreak/>
              <w:t>образовательных услуг, заключенный с организацией, осуществляющей образовательную деятельность;</w:t>
            </w:r>
          </w:p>
          <w:p w:rsidR="005C48C3" w:rsidRPr="00C13561" w:rsidRDefault="005C48C3" w:rsidP="00AD5152">
            <w:pPr>
              <w:spacing w:line="360" w:lineRule="auto"/>
              <w:contextualSpacing/>
              <w:rPr>
                <w:sz w:val="28"/>
                <w:szCs w:val="28"/>
              </w:rPr>
            </w:pPr>
            <w:r w:rsidRPr="00C13561">
              <w:rPr>
                <w:sz w:val="28"/>
                <w:szCs w:val="28"/>
              </w:rPr>
              <w:t>паспорт;</w:t>
            </w:r>
          </w:p>
          <w:p w:rsidR="005C48C3" w:rsidRPr="00C13561" w:rsidRDefault="005C48C3" w:rsidP="00AD5152">
            <w:pPr>
              <w:spacing w:line="360" w:lineRule="auto"/>
              <w:contextualSpacing/>
              <w:rPr>
                <w:sz w:val="28"/>
                <w:szCs w:val="28"/>
              </w:rPr>
            </w:pPr>
            <w:r w:rsidRPr="00C13561">
              <w:rPr>
                <w:sz w:val="28"/>
                <w:szCs w:val="28"/>
              </w:rPr>
              <w:t>справка о временной регистрации Заемщика, фактически проживающего не по месту постоянного проживания (регистрации) - предъявляется при наличии;</w:t>
            </w:r>
          </w:p>
          <w:p w:rsidR="005C48C3" w:rsidRPr="00C13561" w:rsidRDefault="005C48C3" w:rsidP="00AD5152">
            <w:pPr>
              <w:spacing w:line="360" w:lineRule="auto"/>
              <w:contextualSpacing/>
              <w:rPr>
                <w:sz w:val="28"/>
                <w:szCs w:val="28"/>
              </w:rPr>
            </w:pPr>
            <w:r w:rsidRPr="00C13561">
              <w:rPr>
                <w:sz w:val="28"/>
                <w:szCs w:val="28"/>
              </w:rPr>
              <w:t>Заявление-анкета;</w:t>
            </w:r>
          </w:p>
          <w:p w:rsidR="005C48C3" w:rsidRPr="00C13561" w:rsidRDefault="005C48C3" w:rsidP="00AD5152">
            <w:pPr>
              <w:spacing w:line="360" w:lineRule="auto"/>
              <w:contextualSpacing/>
              <w:rPr>
                <w:sz w:val="28"/>
                <w:szCs w:val="28"/>
              </w:rPr>
            </w:pPr>
            <w:r w:rsidRPr="00C13561">
              <w:rPr>
                <w:sz w:val="28"/>
                <w:szCs w:val="28"/>
              </w:rPr>
              <w:t>платежный документ организации, осуществляющей образовательную деятельность, с целью оплаты получаемых образовательных услуг.</w:t>
            </w:r>
          </w:p>
        </w:tc>
        <w:tc>
          <w:tcPr>
            <w:tcW w:w="2693" w:type="dxa"/>
          </w:tcPr>
          <w:p w:rsidR="005C48C3" w:rsidRPr="00C13561" w:rsidRDefault="005C48C3" w:rsidP="00AD5152">
            <w:pPr>
              <w:spacing w:line="360" w:lineRule="auto"/>
              <w:contextualSpacing/>
              <w:jc w:val="both"/>
              <w:rPr>
                <w:sz w:val="28"/>
                <w:szCs w:val="28"/>
              </w:rPr>
            </w:pPr>
            <w:r w:rsidRPr="00C13561">
              <w:rPr>
                <w:sz w:val="28"/>
                <w:szCs w:val="28"/>
              </w:rPr>
              <w:lastRenderedPageBreak/>
              <w:t>Паспорт гражданина РФ</w:t>
            </w:r>
          </w:p>
          <w:p w:rsidR="005C48C3" w:rsidRPr="00C13561" w:rsidRDefault="005C48C3" w:rsidP="00AD5152">
            <w:pPr>
              <w:spacing w:line="360" w:lineRule="auto"/>
              <w:contextualSpacing/>
              <w:jc w:val="both"/>
              <w:rPr>
                <w:sz w:val="28"/>
                <w:szCs w:val="28"/>
              </w:rPr>
            </w:pPr>
            <w:r w:rsidRPr="00C13561">
              <w:rPr>
                <w:sz w:val="28"/>
                <w:szCs w:val="28"/>
              </w:rPr>
              <w:lastRenderedPageBreak/>
              <w:t>Второй документ из списка (приложение 1 после таблицы)</w:t>
            </w:r>
          </w:p>
          <w:p w:rsidR="005C48C3" w:rsidRPr="00C13561" w:rsidRDefault="005C48C3" w:rsidP="00AD5152">
            <w:pPr>
              <w:spacing w:line="360" w:lineRule="auto"/>
              <w:contextualSpacing/>
              <w:jc w:val="both"/>
              <w:rPr>
                <w:sz w:val="28"/>
                <w:szCs w:val="28"/>
              </w:rPr>
            </w:pPr>
            <w:r w:rsidRPr="00C13561">
              <w:rPr>
                <w:sz w:val="28"/>
                <w:szCs w:val="28"/>
              </w:rPr>
              <w:t>СНИЛС</w:t>
            </w:r>
          </w:p>
          <w:p w:rsidR="005C48C3" w:rsidRPr="00C13561" w:rsidRDefault="005C48C3" w:rsidP="00AD5152">
            <w:pPr>
              <w:spacing w:line="360" w:lineRule="auto"/>
              <w:contextualSpacing/>
              <w:jc w:val="both"/>
              <w:rPr>
                <w:sz w:val="28"/>
                <w:szCs w:val="28"/>
              </w:rPr>
            </w:pPr>
            <w:r w:rsidRPr="00C13561">
              <w:rPr>
                <w:sz w:val="28"/>
                <w:szCs w:val="28"/>
              </w:rPr>
              <w:t>Согласие на запрос и обработку Выписки из ПФР</w:t>
            </w:r>
          </w:p>
          <w:p w:rsidR="005C48C3" w:rsidRPr="00C13561" w:rsidRDefault="005C48C3" w:rsidP="00AD5152">
            <w:pPr>
              <w:spacing w:line="360" w:lineRule="auto"/>
              <w:contextualSpacing/>
              <w:jc w:val="both"/>
              <w:rPr>
                <w:sz w:val="28"/>
                <w:szCs w:val="28"/>
              </w:rPr>
            </w:pPr>
            <w:r w:rsidRPr="00C13561">
              <w:rPr>
                <w:sz w:val="28"/>
                <w:szCs w:val="28"/>
              </w:rPr>
              <w:t>ИНН работодателя, если указывается место работы</w:t>
            </w:r>
          </w:p>
        </w:tc>
        <w:tc>
          <w:tcPr>
            <w:tcW w:w="2517" w:type="dxa"/>
          </w:tcPr>
          <w:p w:rsidR="005C48C3" w:rsidRPr="00C13561" w:rsidRDefault="005C48C3" w:rsidP="00AD5152">
            <w:pPr>
              <w:spacing w:after="60" w:line="360" w:lineRule="auto"/>
              <w:ind w:left="240" w:firstLine="851"/>
              <w:contextualSpacing/>
              <w:jc w:val="both"/>
              <w:rPr>
                <w:sz w:val="28"/>
                <w:szCs w:val="28"/>
              </w:rPr>
            </w:pPr>
            <w:r w:rsidRPr="00C13561">
              <w:rPr>
                <w:sz w:val="28"/>
                <w:szCs w:val="28"/>
              </w:rPr>
              <w:lastRenderedPageBreak/>
              <w:t>Паспорт Гражданина РФ;</w:t>
            </w:r>
          </w:p>
          <w:p w:rsidR="005C48C3" w:rsidRPr="00C13561" w:rsidRDefault="005C48C3" w:rsidP="00AD5152">
            <w:pPr>
              <w:spacing w:after="60" w:line="360" w:lineRule="auto"/>
              <w:ind w:left="240" w:firstLine="851"/>
              <w:contextualSpacing/>
              <w:jc w:val="both"/>
              <w:rPr>
                <w:sz w:val="28"/>
                <w:szCs w:val="28"/>
              </w:rPr>
            </w:pPr>
            <w:r w:rsidRPr="00C13561">
              <w:rPr>
                <w:sz w:val="28"/>
                <w:szCs w:val="28"/>
              </w:rPr>
              <w:lastRenderedPageBreak/>
              <w:t>Второй обязательный документ, подтверждающий личность;</w:t>
            </w:r>
          </w:p>
          <w:p w:rsidR="005C48C3" w:rsidRPr="00C13561" w:rsidRDefault="005C48C3" w:rsidP="00AD5152">
            <w:pPr>
              <w:spacing w:after="60" w:line="360" w:lineRule="auto"/>
              <w:ind w:left="240" w:firstLine="851"/>
              <w:contextualSpacing/>
              <w:jc w:val="both"/>
              <w:rPr>
                <w:sz w:val="28"/>
                <w:szCs w:val="28"/>
              </w:rPr>
            </w:pPr>
            <w:r w:rsidRPr="00C13561">
              <w:rPr>
                <w:sz w:val="28"/>
                <w:szCs w:val="28"/>
              </w:rPr>
              <w:t>Подписанный договор на обучение;</w:t>
            </w:r>
          </w:p>
          <w:p w:rsidR="005C48C3" w:rsidRPr="00C13561" w:rsidRDefault="005C48C3" w:rsidP="00AD5152">
            <w:pPr>
              <w:spacing w:after="60" w:line="360" w:lineRule="auto"/>
              <w:ind w:left="240" w:firstLine="851"/>
              <w:contextualSpacing/>
              <w:jc w:val="both"/>
              <w:rPr>
                <w:sz w:val="28"/>
                <w:szCs w:val="28"/>
              </w:rPr>
            </w:pPr>
            <w:r w:rsidRPr="00C13561">
              <w:rPr>
                <w:sz w:val="28"/>
                <w:szCs w:val="28"/>
              </w:rPr>
              <w:t>Анкета-Заявление на предоставление Кредита.</w:t>
            </w:r>
          </w:p>
          <w:p w:rsidR="005C48C3" w:rsidRPr="00C13561" w:rsidRDefault="005C48C3" w:rsidP="00AD5152">
            <w:pPr>
              <w:spacing w:line="360" w:lineRule="auto"/>
              <w:ind w:firstLine="851"/>
              <w:contextualSpacing/>
              <w:jc w:val="both"/>
              <w:rPr>
                <w:sz w:val="28"/>
                <w:szCs w:val="28"/>
              </w:rPr>
            </w:pPr>
          </w:p>
        </w:tc>
      </w:tr>
    </w:tbl>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lastRenderedPageBreak/>
        <w:t xml:space="preserve">Таблица 1 </w:t>
      </w:r>
    </w:p>
    <w:p w:rsidR="005C48C3" w:rsidRDefault="005C48C3" w:rsidP="005C48C3">
      <w:pPr>
        <w:spacing w:line="360" w:lineRule="auto"/>
        <w:ind w:firstLine="851"/>
        <w:contextualSpacing/>
        <w:jc w:val="both"/>
        <w:rPr>
          <w:rFonts w:ascii="Times New Roman" w:hAnsi="Times New Roman" w:cs="Times New Roman"/>
          <w:sz w:val="28"/>
          <w:szCs w:val="28"/>
        </w:rPr>
      </w:pP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Учитывая факты, приведенные в таблице 1, я составила свою сравнительную таблицу текущих платежей и переплат.</w:t>
      </w:r>
    </w:p>
    <w:tbl>
      <w:tblPr>
        <w:tblStyle w:val="a3"/>
        <w:tblW w:w="0" w:type="auto"/>
        <w:tblInd w:w="-289" w:type="dxa"/>
        <w:tblLook w:val="01E0" w:firstRow="1" w:lastRow="1" w:firstColumn="1" w:lastColumn="1" w:noHBand="0" w:noVBand="0"/>
      </w:tblPr>
      <w:tblGrid>
        <w:gridCol w:w="1899"/>
        <w:gridCol w:w="2482"/>
        <w:gridCol w:w="2463"/>
        <w:gridCol w:w="2501"/>
      </w:tblGrid>
      <w:tr w:rsidR="005C48C3" w:rsidRPr="00C13561" w:rsidTr="005C48C3">
        <w:tc>
          <w:tcPr>
            <w:tcW w:w="1899"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Банк</w:t>
            </w:r>
          </w:p>
        </w:tc>
        <w:tc>
          <w:tcPr>
            <w:tcW w:w="2482"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Сбербанк России</w:t>
            </w:r>
          </w:p>
        </w:tc>
        <w:tc>
          <w:tcPr>
            <w:tcW w:w="2463"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Лето Банк</w:t>
            </w:r>
          </w:p>
        </w:tc>
        <w:tc>
          <w:tcPr>
            <w:tcW w:w="2501" w:type="dxa"/>
          </w:tcPr>
          <w:p w:rsidR="005C48C3" w:rsidRPr="00C13561" w:rsidRDefault="005C48C3" w:rsidP="00AD5152">
            <w:pPr>
              <w:spacing w:line="360" w:lineRule="auto"/>
              <w:contextualSpacing/>
              <w:jc w:val="both"/>
              <w:rPr>
                <w:rFonts w:eastAsiaTheme="minorHAnsi"/>
                <w:sz w:val="28"/>
                <w:szCs w:val="28"/>
                <w:lang w:eastAsia="en-US"/>
              </w:rPr>
            </w:pPr>
            <w:proofErr w:type="spellStart"/>
            <w:r w:rsidRPr="00C13561">
              <w:rPr>
                <w:rFonts w:eastAsiaTheme="minorHAnsi"/>
                <w:sz w:val="28"/>
                <w:szCs w:val="28"/>
                <w:lang w:eastAsia="en-US"/>
              </w:rPr>
              <w:t>РосинтерБанк</w:t>
            </w:r>
            <w:proofErr w:type="spellEnd"/>
          </w:p>
        </w:tc>
      </w:tr>
      <w:tr w:rsidR="005C48C3" w:rsidRPr="00C13561" w:rsidTr="005C48C3">
        <w:tc>
          <w:tcPr>
            <w:tcW w:w="1899"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Сумма ежемесячного платежа</w:t>
            </w:r>
          </w:p>
        </w:tc>
        <w:tc>
          <w:tcPr>
            <w:tcW w:w="2482"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8 922 – 8 382 р.</w:t>
            </w:r>
          </w:p>
        </w:tc>
        <w:tc>
          <w:tcPr>
            <w:tcW w:w="2463"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9</w:t>
            </w:r>
            <w:r>
              <w:rPr>
                <w:rFonts w:eastAsiaTheme="minorHAnsi"/>
                <w:sz w:val="28"/>
                <w:szCs w:val="28"/>
                <w:lang w:eastAsia="en-US"/>
              </w:rPr>
              <w:t xml:space="preserve"> 992 – 8 </w:t>
            </w:r>
            <w:r w:rsidRPr="00C13561">
              <w:rPr>
                <w:rFonts w:eastAsiaTheme="minorHAnsi"/>
                <w:sz w:val="28"/>
                <w:szCs w:val="28"/>
                <w:lang w:eastAsia="en-US"/>
              </w:rPr>
              <w:t>472 р.</w:t>
            </w:r>
          </w:p>
        </w:tc>
        <w:tc>
          <w:tcPr>
            <w:tcW w:w="2501"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9 517 – 8 432 р.</w:t>
            </w:r>
          </w:p>
        </w:tc>
      </w:tr>
      <w:tr w:rsidR="005C48C3" w:rsidRPr="00C13561" w:rsidTr="005C48C3">
        <w:tc>
          <w:tcPr>
            <w:tcW w:w="1899"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Сколько составит переплата (за 12 месяцев)</w:t>
            </w:r>
          </w:p>
        </w:tc>
        <w:tc>
          <w:tcPr>
            <w:tcW w:w="2482" w:type="dxa"/>
          </w:tcPr>
          <w:p w:rsidR="005C48C3" w:rsidRPr="00C13561" w:rsidRDefault="005C48C3" w:rsidP="00AD5152">
            <w:pPr>
              <w:spacing w:line="360" w:lineRule="auto"/>
              <w:contextualSpacing/>
              <w:jc w:val="both"/>
              <w:rPr>
                <w:rFonts w:eastAsiaTheme="minorHAnsi"/>
                <w:sz w:val="28"/>
                <w:szCs w:val="28"/>
                <w:lang w:eastAsia="en-US"/>
              </w:rPr>
            </w:pPr>
            <w:r>
              <w:rPr>
                <w:rFonts w:eastAsiaTheme="minorHAnsi"/>
                <w:sz w:val="28"/>
                <w:szCs w:val="28"/>
                <w:lang w:eastAsia="en-US"/>
              </w:rPr>
              <w:t xml:space="preserve">3 </w:t>
            </w:r>
            <w:r w:rsidRPr="00C13561">
              <w:rPr>
                <w:rFonts w:eastAsiaTheme="minorHAnsi"/>
                <w:sz w:val="28"/>
                <w:szCs w:val="28"/>
                <w:lang w:eastAsia="en-US"/>
              </w:rPr>
              <w:t>824 р.</w:t>
            </w:r>
          </w:p>
        </w:tc>
        <w:tc>
          <w:tcPr>
            <w:tcW w:w="2463" w:type="dxa"/>
          </w:tcPr>
          <w:p w:rsidR="005C48C3" w:rsidRPr="00C13561" w:rsidRDefault="005C48C3" w:rsidP="00AD5152">
            <w:pPr>
              <w:spacing w:line="360" w:lineRule="auto"/>
              <w:contextualSpacing/>
              <w:jc w:val="both"/>
              <w:rPr>
                <w:rFonts w:eastAsiaTheme="minorHAnsi"/>
                <w:sz w:val="28"/>
                <w:szCs w:val="28"/>
                <w:lang w:eastAsia="en-US"/>
              </w:rPr>
            </w:pPr>
            <w:r w:rsidRPr="00C13561">
              <w:rPr>
                <w:rFonts w:eastAsiaTheme="minorHAnsi"/>
                <w:sz w:val="28"/>
                <w:szCs w:val="28"/>
                <w:lang w:eastAsia="en-US"/>
              </w:rPr>
              <w:t>10 779 р.</w:t>
            </w:r>
          </w:p>
        </w:tc>
        <w:tc>
          <w:tcPr>
            <w:tcW w:w="2501" w:type="dxa"/>
          </w:tcPr>
          <w:p w:rsidR="005C48C3" w:rsidRPr="00C13561" w:rsidRDefault="005C48C3" w:rsidP="00AD5152">
            <w:pPr>
              <w:spacing w:line="360" w:lineRule="auto"/>
              <w:contextualSpacing/>
              <w:jc w:val="both"/>
              <w:rPr>
                <w:rFonts w:eastAsiaTheme="minorHAnsi"/>
                <w:sz w:val="28"/>
                <w:szCs w:val="28"/>
                <w:lang w:eastAsia="en-US"/>
              </w:rPr>
            </w:pPr>
            <w:r>
              <w:rPr>
                <w:rFonts w:eastAsiaTheme="minorHAnsi"/>
                <w:sz w:val="28"/>
                <w:szCs w:val="28"/>
                <w:lang w:eastAsia="en-US"/>
              </w:rPr>
              <w:t xml:space="preserve">7 </w:t>
            </w:r>
            <w:r w:rsidRPr="00C13561">
              <w:rPr>
                <w:rFonts w:eastAsiaTheme="minorHAnsi"/>
                <w:sz w:val="28"/>
                <w:szCs w:val="28"/>
                <w:lang w:eastAsia="en-US"/>
              </w:rPr>
              <w:t>692 р.</w:t>
            </w:r>
          </w:p>
        </w:tc>
      </w:tr>
    </w:tbl>
    <w:p w:rsidR="005C48C3" w:rsidRPr="005C48C3" w:rsidRDefault="005C48C3" w:rsidP="005C48C3">
      <w:pPr>
        <w:spacing w:line="360" w:lineRule="auto"/>
        <w:ind w:firstLine="851"/>
        <w:contextualSpacing/>
        <w:jc w:val="both"/>
        <w:rPr>
          <w:rFonts w:ascii="Times New Roman" w:hAnsi="Times New Roman" w:cs="Times New Roman"/>
          <w:sz w:val="28"/>
          <w:szCs w:val="28"/>
          <w:u w:val="single"/>
        </w:rPr>
      </w:pPr>
      <w:r w:rsidRPr="005C48C3">
        <w:rPr>
          <w:rFonts w:ascii="Times New Roman" w:hAnsi="Times New Roman" w:cs="Times New Roman"/>
          <w:sz w:val="28"/>
          <w:szCs w:val="28"/>
          <w:u w:val="single"/>
        </w:rPr>
        <w:t>Таблица 2</w:t>
      </w:r>
    </w:p>
    <w:p w:rsidR="005C48C3" w:rsidRDefault="005C48C3">
      <w:pPr>
        <w:rPr>
          <w:rFonts w:ascii="Times New Roman" w:hAnsi="Times New Roman" w:cs="Times New Roman"/>
          <w:sz w:val="28"/>
          <w:szCs w:val="28"/>
        </w:rPr>
      </w:pPr>
      <w:r>
        <w:rPr>
          <w:rFonts w:ascii="Times New Roman" w:hAnsi="Times New Roman" w:cs="Times New Roman"/>
          <w:sz w:val="28"/>
          <w:szCs w:val="28"/>
        </w:rPr>
        <w:br w:type="page"/>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lastRenderedPageBreak/>
        <w:t>Теперь проиллюстрируем все на диаграммах</w:t>
      </w:r>
    </w:p>
    <w:p w:rsidR="005C48C3" w:rsidRPr="00C13561" w:rsidRDefault="005C48C3" w:rsidP="005C48C3">
      <w:pPr>
        <w:spacing w:line="360" w:lineRule="auto"/>
        <w:ind w:left="180" w:firstLine="851"/>
        <w:contextualSpacing/>
        <w:jc w:val="both"/>
        <w:rPr>
          <w:rFonts w:ascii="Times New Roman" w:hAnsi="Times New Roman" w:cs="Times New Roman"/>
          <w:sz w:val="28"/>
          <w:szCs w:val="28"/>
        </w:rPr>
      </w:pPr>
      <w:r w:rsidRPr="00C13561">
        <w:rPr>
          <w:rFonts w:ascii="Times New Roman" w:hAnsi="Times New Roman" w:cs="Times New Roman"/>
          <w:noProof/>
          <w:sz w:val="28"/>
          <w:szCs w:val="28"/>
          <w:lang w:eastAsia="ru-RU"/>
        </w:rPr>
        <w:drawing>
          <wp:inline distT="0" distB="0" distL="0" distR="0" wp14:anchorId="4104AE67" wp14:editId="6BA38852">
            <wp:extent cx="3143250" cy="24479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Pr="00C13561">
        <w:rPr>
          <w:rFonts w:ascii="Times New Roman" w:hAnsi="Times New Roman" w:cs="Times New Roman"/>
          <w:sz w:val="28"/>
          <w:szCs w:val="28"/>
        </w:rPr>
        <w:t xml:space="preserve">     </w:t>
      </w:r>
    </w:p>
    <w:p w:rsidR="005C48C3" w:rsidRPr="005C48C3" w:rsidRDefault="005C48C3" w:rsidP="005C48C3">
      <w:pPr>
        <w:spacing w:line="360" w:lineRule="auto"/>
        <w:ind w:left="180" w:firstLine="851"/>
        <w:contextualSpacing/>
        <w:jc w:val="both"/>
        <w:rPr>
          <w:rFonts w:ascii="Times New Roman" w:hAnsi="Times New Roman" w:cs="Times New Roman"/>
          <w:sz w:val="28"/>
          <w:szCs w:val="28"/>
          <w:u w:val="single"/>
        </w:rPr>
      </w:pPr>
      <w:r w:rsidRPr="00C13561">
        <w:rPr>
          <w:rFonts w:ascii="Times New Roman" w:hAnsi="Times New Roman" w:cs="Times New Roman"/>
          <w:sz w:val="28"/>
          <w:szCs w:val="28"/>
        </w:rPr>
        <w:t xml:space="preserve"> </w:t>
      </w:r>
      <w:r w:rsidRPr="005C48C3">
        <w:rPr>
          <w:rFonts w:ascii="Times New Roman" w:hAnsi="Times New Roman" w:cs="Times New Roman"/>
          <w:sz w:val="28"/>
          <w:szCs w:val="28"/>
          <w:u w:val="single"/>
        </w:rPr>
        <w:t>Диаграмма 1</w:t>
      </w:r>
    </w:p>
    <w:p w:rsidR="005C48C3" w:rsidRPr="00C13561" w:rsidRDefault="005C48C3" w:rsidP="005C48C3">
      <w:pPr>
        <w:spacing w:line="360" w:lineRule="auto"/>
        <w:ind w:left="180"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Из диаграммы 1 видим, что максимальная Сумма ежемесячного платежа у «Лето Банк», а минимальная у «Сбербанк России».</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noProof/>
          <w:sz w:val="28"/>
          <w:szCs w:val="28"/>
          <w:lang w:eastAsia="ru-RU"/>
        </w:rPr>
        <w:drawing>
          <wp:inline distT="0" distB="0" distL="0" distR="0" wp14:anchorId="7BB1A8FF" wp14:editId="69AD3E89">
            <wp:extent cx="2933700" cy="28479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C48C3" w:rsidRPr="005C48C3" w:rsidRDefault="005C48C3" w:rsidP="005C48C3">
      <w:pPr>
        <w:spacing w:line="360" w:lineRule="auto"/>
        <w:ind w:left="540" w:firstLine="851"/>
        <w:contextualSpacing/>
        <w:jc w:val="both"/>
        <w:rPr>
          <w:rFonts w:ascii="Times New Roman" w:hAnsi="Times New Roman" w:cs="Times New Roman"/>
          <w:sz w:val="28"/>
          <w:szCs w:val="28"/>
          <w:u w:val="single"/>
        </w:rPr>
      </w:pPr>
      <w:r w:rsidRPr="005C48C3">
        <w:rPr>
          <w:rFonts w:ascii="Times New Roman" w:hAnsi="Times New Roman" w:cs="Times New Roman"/>
          <w:sz w:val="28"/>
          <w:szCs w:val="28"/>
          <w:u w:val="single"/>
        </w:rPr>
        <w:t>Диаграмма 2</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Из данной диаграммы видно, что переплата за кредит составит максимальную сумму в «Лето Банке», а минимальная в банке «Сбербанке России».</w:t>
      </w:r>
    </w:p>
    <w:p w:rsidR="005C48C3" w:rsidRPr="00C13561" w:rsidRDefault="005C48C3" w:rsidP="005C48C3">
      <w:pPr>
        <w:spacing w:line="360" w:lineRule="auto"/>
        <w:ind w:firstLine="851"/>
        <w:contextualSpacing/>
        <w:jc w:val="both"/>
        <w:rPr>
          <w:rFonts w:ascii="Times New Roman" w:hAnsi="Times New Roman" w:cs="Times New Roman"/>
          <w:sz w:val="28"/>
          <w:szCs w:val="28"/>
        </w:rPr>
      </w:pPr>
    </w:p>
    <w:p w:rsidR="005C48C3" w:rsidRDefault="005C48C3" w:rsidP="005C48C3">
      <w:pPr>
        <w:rPr>
          <w:rFonts w:ascii="Times New Roman" w:hAnsi="Times New Roman" w:cs="Times New Roman"/>
          <w:b/>
          <w:i/>
          <w:sz w:val="28"/>
          <w:szCs w:val="28"/>
        </w:rPr>
      </w:pPr>
      <w:r>
        <w:rPr>
          <w:rFonts w:ascii="Times New Roman" w:hAnsi="Times New Roman" w:cs="Times New Roman"/>
          <w:b/>
          <w:i/>
          <w:sz w:val="28"/>
          <w:szCs w:val="28"/>
        </w:rPr>
        <w:br w:type="page"/>
      </w:r>
    </w:p>
    <w:p w:rsidR="005C48C3" w:rsidRPr="00C13561" w:rsidRDefault="005C48C3" w:rsidP="005C48C3">
      <w:pPr>
        <w:spacing w:line="360" w:lineRule="auto"/>
        <w:ind w:firstLine="851"/>
        <w:contextualSpacing/>
        <w:jc w:val="both"/>
        <w:rPr>
          <w:rFonts w:ascii="Times New Roman" w:hAnsi="Times New Roman" w:cs="Times New Roman"/>
          <w:b/>
          <w:i/>
          <w:sz w:val="28"/>
          <w:szCs w:val="28"/>
        </w:rPr>
      </w:pPr>
      <w:r w:rsidRPr="00C13561">
        <w:rPr>
          <w:rFonts w:ascii="Times New Roman" w:hAnsi="Times New Roman" w:cs="Times New Roman"/>
          <w:b/>
          <w:i/>
          <w:sz w:val="28"/>
          <w:szCs w:val="28"/>
        </w:rPr>
        <w:lastRenderedPageBreak/>
        <w:t>Заключение.</w:t>
      </w:r>
    </w:p>
    <w:p w:rsidR="005C48C3"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 xml:space="preserve">Из приведенного анализа можно сделать вывод, что наиболее выгоден кредит на образование в «Сбербанке России», где переплата составит </w:t>
      </w:r>
      <w:r>
        <w:rPr>
          <w:rFonts w:ascii="Times New Roman" w:hAnsi="Times New Roman" w:cs="Times New Roman"/>
          <w:sz w:val="28"/>
          <w:szCs w:val="28"/>
        </w:rPr>
        <w:t>менее</w:t>
      </w:r>
      <w:r w:rsidRPr="00C13561">
        <w:rPr>
          <w:rFonts w:ascii="Times New Roman" w:hAnsi="Times New Roman" w:cs="Times New Roman"/>
          <w:sz w:val="28"/>
          <w:szCs w:val="28"/>
        </w:rPr>
        <w:t xml:space="preserve"> 4000 рублей, против «Лето Банка», переплата в котором составляет </w:t>
      </w:r>
      <w:r>
        <w:rPr>
          <w:rFonts w:ascii="Times New Roman" w:hAnsi="Times New Roman" w:cs="Times New Roman"/>
          <w:sz w:val="28"/>
          <w:szCs w:val="28"/>
        </w:rPr>
        <w:t xml:space="preserve">практически 11 </w:t>
      </w:r>
      <w:r w:rsidRPr="00C13561">
        <w:rPr>
          <w:rFonts w:ascii="Times New Roman" w:hAnsi="Times New Roman" w:cs="Times New Roman"/>
          <w:sz w:val="28"/>
          <w:szCs w:val="28"/>
        </w:rPr>
        <w:t>000 рублей. Как недостаток следует отметить необходимость сбора большого пакета документов для предоставления кредита в «Сбербанке России».</w:t>
      </w:r>
      <w:r>
        <w:rPr>
          <w:rFonts w:ascii="Times New Roman" w:hAnsi="Times New Roman" w:cs="Times New Roman"/>
          <w:sz w:val="28"/>
          <w:szCs w:val="28"/>
        </w:rPr>
        <w:t xml:space="preserve"> Тут уже нужно для себя решать, стоит ли экономия примерно 7 000 рублей (11 000 – 4 000 руб.) тех трудозатрат, которые потребуются для сбора дополнительных документов. Разумеется, это зависит уже не от банков, а от того, как я сама оценю стоимость своего времени.</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Кроме точных расчетов кредитов, которые обычно сложно сделать без компьютера, полезно знать некоторые простейшие правила, чтобы «на глазок» оценить выгодность предложения. Это позволит не тратить время на обсчеты явно неинтересных кредитов. Скажем, чем больше процентная ставка, тем больше будет переплата, - очевидный факт, но даже с ним случаются трудности, если не дружить с алгеброй. Например, надо сравнить два простых варианта: 10% в месяц или 70% в год. Конечно, 70% в год выгодней, хотя число «70» заметно больше, чем число «10».</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Второе очевидное правило, которое надо знать: чем «длиннее» кредит, тем больше переплата при одинаковой ставке.</w:t>
      </w:r>
    </w:p>
    <w:p w:rsidR="005C48C3" w:rsidRDefault="005C48C3" w:rsidP="005C48C3">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 самое главное: геометрическая прогрессия растет довольно быстро. Заемщик далеко не всегда осознает, что общеизвестная притча про шахматную доску, где на первой клетке одно зерно, на второй – два, на третьей – четыре, а на последнюю, 64-ю, не хватит зерна всего мира, - это как раз его, заемщика, случай. Скажем, скромный 1% - ну что тут говорить, мелочь. А если этот процент в день – даже без сложных процентов такой кредит нам не нужен. Если же по договору процент добавляется к сумме каждый день, то мои 100 000 рублей долга через год превратятся в ужасающие 100 000*(1+0,01)</w:t>
      </w:r>
      <w:r w:rsidRPr="00314D7B">
        <w:rPr>
          <w:rFonts w:ascii="Times New Roman" w:hAnsi="Times New Roman" w:cs="Times New Roman"/>
          <w:sz w:val="28"/>
          <w:szCs w:val="28"/>
          <w:vertAlign w:val="superscript"/>
        </w:rPr>
        <w:t>365</w:t>
      </w:r>
      <w:r>
        <w:rPr>
          <w:rFonts w:ascii="Times New Roman" w:hAnsi="Times New Roman" w:cs="Times New Roman"/>
          <w:sz w:val="28"/>
          <w:szCs w:val="28"/>
        </w:rPr>
        <w:t>=3 778 343 рубля! Почти четыре миллиона!</w:t>
      </w:r>
    </w:p>
    <w:p w:rsidR="005C48C3" w:rsidRPr="005C48C3" w:rsidRDefault="005C48C3" w:rsidP="005C48C3">
      <w:pPr>
        <w:spacing w:line="360" w:lineRule="auto"/>
        <w:ind w:firstLine="851"/>
        <w:contextualSpacing/>
        <w:jc w:val="both"/>
        <w:rPr>
          <w:rFonts w:ascii="Times New Roman" w:hAnsi="Times New Roman" w:cs="Times New Roman"/>
          <w:sz w:val="28"/>
          <w:szCs w:val="28"/>
        </w:rPr>
      </w:pPr>
      <w:r w:rsidRPr="00C13561">
        <w:rPr>
          <w:rFonts w:ascii="Times New Roman" w:hAnsi="Times New Roman" w:cs="Times New Roman"/>
          <w:sz w:val="28"/>
          <w:szCs w:val="28"/>
        </w:rPr>
        <w:t>Итак, мы можем взять кредит в финансовом учреждени</w:t>
      </w:r>
      <w:r>
        <w:rPr>
          <w:rFonts w:ascii="Times New Roman" w:hAnsi="Times New Roman" w:cs="Times New Roman"/>
          <w:sz w:val="28"/>
          <w:szCs w:val="28"/>
        </w:rPr>
        <w:t>и</w:t>
      </w:r>
      <w:r w:rsidRPr="00C13561">
        <w:rPr>
          <w:rFonts w:ascii="Times New Roman" w:hAnsi="Times New Roman" w:cs="Times New Roman"/>
          <w:sz w:val="28"/>
          <w:szCs w:val="28"/>
        </w:rPr>
        <w:t xml:space="preserve"> во всеоружии финансовой алгебры, правильного расчета, обеспечивая себе наибольшую </w:t>
      </w:r>
      <w:r w:rsidRPr="00C13561">
        <w:rPr>
          <w:rFonts w:ascii="Times New Roman" w:hAnsi="Times New Roman" w:cs="Times New Roman"/>
          <w:sz w:val="28"/>
          <w:szCs w:val="28"/>
        </w:rPr>
        <w:lastRenderedPageBreak/>
        <w:t xml:space="preserve">выгодность кредита на образование. Однако, как показывает практика последнего времени, эта почва оказывается нетвердой. Ведь никто на данном этапе не может гарантировать, что ставки Сбербанка России либо Лето Банка, либо </w:t>
      </w:r>
      <w:proofErr w:type="spellStart"/>
      <w:r w:rsidRPr="00C13561">
        <w:rPr>
          <w:rFonts w:ascii="Times New Roman" w:hAnsi="Times New Roman" w:cs="Times New Roman"/>
          <w:sz w:val="28"/>
          <w:szCs w:val="28"/>
        </w:rPr>
        <w:t>РосинтерБанка</w:t>
      </w:r>
      <w:proofErr w:type="spellEnd"/>
      <w:r w:rsidRPr="00C13561">
        <w:rPr>
          <w:rFonts w:ascii="Times New Roman" w:hAnsi="Times New Roman" w:cs="Times New Roman"/>
          <w:sz w:val="28"/>
          <w:szCs w:val="28"/>
        </w:rPr>
        <w:t xml:space="preserve"> не изменятся. По крайней мере, банки таких гарантий не дают, а опыт последних лет показывает, что кредитные ставки, как правило, изменяются в сторону увеличения. </w:t>
      </w:r>
    </w:p>
    <w:sectPr w:rsidR="005C48C3" w:rsidRPr="005C48C3" w:rsidSect="006A06F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BF"/>
    <w:rsid w:val="000A44BF"/>
    <w:rsid w:val="005C48C3"/>
    <w:rsid w:val="006A06F9"/>
    <w:rsid w:val="00C041E2"/>
    <w:rsid w:val="00D5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8BE52-FCCC-4CDC-8357-815CE76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4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effectLst/>
              </a:rPr>
              <a:t>Сумма ежемесячного платежа</a:t>
            </a:r>
            <a:endParaRPr lang="ru-RU"/>
          </a:p>
        </c:rich>
      </c:tx>
      <c:layout/>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Лист1!$A$2:$A$4</c:f>
              <c:strCache>
                <c:ptCount val="3"/>
                <c:pt idx="0">
                  <c:v>Сбербанк России</c:v>
                </c:pt>
                <c:pt idx="1">
                  <c:v>Лето Банк</c:v>
                </c:pt>
                <c:pt idx="2">
                  <c:v>РосинтерБанк</c:v>
                </c:pt>
              </c:strCache>
            </c:strRef>
          </c:cat>
          <c:val>
            <c:numRef>
              <c:f>Лист1!$B$2:$B$4</c:f>
              <c:numCache>
                <c:formatCode>#,##0</c:formatCode>
                <c:ptCount val="3"/>
                <c:pt idx="0">
                  <c:v>8922</c:v>
                </c:pt>
                <c:pt idx="1">
                  <c:v>9992</c:v>
                </c:pt>
                <c:pt idx="2">
                  <c:v>9517</c:v>
                </c:pt>
              </c:numCache>
            </c:numRef>
          </c:val>
        </c:ser>
        <c:dLbls>
          <c:showLegendKey val="0"/>
          <c:showVal val="0"/>
          <c:showCatName val="0"/>
          <c:showSerName val="0"/>
          <c:showPercent val="0"/>
          <c:showBubbleSize val="0"/>
        </c:dLbls>
        <c:gapWidth val="150"/>
        <c:axId val="126021584"/>
        <c:axId val="126022144"/>
      </c:barChart>
      <c:catAx>
        <c:axId val="126021584"/>
        <c:scaling>
          <c:orientation val="minMax"/>
        </c:scaling>
        <c:delete val="0"/>
        <c:axPos val="b"/>
        <c:numFmt formatCode="General" sourceLinked="0"/>
        <c:majorTickMark val="out"/>
        <c:minorTickMark val="none"/>
        <c:tickLblPos val="nextTo"/>
        <c:crossAx val="126022144"/>
        <c:crosses val="autoZero"/>
        <c:auto val="1"/>
        <c:lblAlgn val="ctr"/>
        <c:lblOffset val="100"/>
        <c:noMultiLvlLbl val="0"/>
      </c:catAx>
      <c:valAx>
        <c:axId val="126022144"/>
        <c:scaling>
          <c:orientation val="minMax"/>
        </c:scaling>
        <c:delete val="0"/>
        <c:axPos val="l"/>
        <c:majorGridlines/>
        <c:numFmt formatCode="#,##0&quot;р.&quot;" sourceLinked="0"/>
        <c:majorTickMark val="out"/>
        <c:minorTickMark val="none"/>
        <c:tickLblPos val="nextTo"/>
        <c:crossAx val="1260215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Лист1!$B$1</c:f>
              <c:strCache>
                <c:ptCount val="1"/>
                <c:pt idx="0">
                  <c:v>переплата (за 12 месяцев)</c:v>
                </c:pt>
              </c:strCache>
            </c:strRef>
          </c:tx>
          <c:invertIfNegative val="0"/>
          <c:cat>
            <c:strRef>
              <c:f>Лист1!$A$2:$A$4</c:f>
              <c:strCache>
                <c:ptCount val="3"/>
                <c:pt idx="0">
                  <c:v>Сбербанк России</c:v>
                </c:pt>
                <c:pt idx="1">
                  <c:v>Лето Банк</c:v>
                </c:pt>
                <c:pt idx="2">
                  <c:v>РосинтерБанк</c:v>
                </c:pt>
              </c:strCache>
            </c:strRef>
          </c:cat>
          <c:val>
            <c:numRef>
              <c:f>Лист1!$B$2:$B$4</c:f>
              <c:numCache>
                <c:formatCode>#,##0</c:formatCode>
                <c:ptCount val="3"/>
                <c:pt idx="0">
                  <c:v>3824</c:v>
                </c:pt>
                <c:pt idx="1">
                  <c:v>10779</c:v>
                </c:pt>
                <c:pt idx="2">
                  <c:v>7692</c:v>
                </c:pt>
              </c:numCache>
            </c:numRef>
          </c:val>
        </c:ser>
        <c:dLbls>
          <c:showLegendKey val="0"/>
          <c:showVal val="0"/>
          <c:showCatName val="0"/>
          <c:showSerName val="0"/>
          <c:showPercent val="0"/>
          <c:showBubbleSize val="0"/>
        </c:dLbls>
        <c:gapWidth val="150"/>
        <c:axId val="126024384"/>
        <c:axId val="126024944"/>
      </c:barChart>
      <c:catAx>
        <c:axId val="126024384"/>
        <c:scaling>
          <c:orientation val="minMax"/>
        </c:scaling>
        <c:delete val="0"/>
        <c:axPos val="b"/>
        <c:numFmt formatCode="General" sourceLinked="0"/>
        <c:majorTickMark val="out"/>
        <c:minorTickMark val="none"/>
        <c:tickLblPos val="nextTo"/>
        <c:crossAx val="126024944"/>
        <c:crosses val="autoZero"/>
        <c:auto val="1"/>
        <c:lblAlgn val="ctr"/>
        <c:lblOffset val="100"/>
        <c:noMultiLvlLbl val="0"/>
      </c:catAx>
      <c:valAx>
        <c:axId val="126024944"/>
        <c:scaling>
          <c:orientation val="minMax"/>
          <c:min val="2000"/>
        </c:scaling>
        <c:delete val="0"/>
        <c:axPos val="l"/>
        <c:majorGridlines/>
        <c:numFmt formatCode="#,##0&quot;р.&quot;" sourceLinked="0"/>
        <c:majorTickMark val="out"/>
        <c:minorTickMark val="none"/>
        <c:tickLblPos val="nextTo"/>
        <c:crossAx val="1260243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35</TotalTime>
  <Pages>7</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3</cp:revision>
  <dcterms:created xsi:type="dcterms:W3CDTF">2016-05-27T18:51:00Z</dcterms:created>
  <dcterms:modified xsi:type="dcterms:W3CDTF">2016-05-27T19:32:00Z</dcterms:modified>
</cp:coreProperties>
</file>