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24" w:rsidRPr="00577A1D" w:rsidRDefault="00DE4725" w:rsidP="00577A1D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7A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Доклад на тему:</w:t>
      </w:r>
      <w:r w:rsidR="008F4F3F" w:rsidRPr="00577A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577A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«Инновационная деятельность учителя начальных классов в условиях апробации и внедрения ФГОС»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0" w:afterAutospacing="0"/>
        <w:jc w:val="both"/>
      </w:pPr>
      <w:r w:rsidRPr="00577A1D">
        <w:t xml:space="preserve">       Понятие </w:t>
      </w:r>
      <w:r w:rsidRPr="00577A1D">
        <w:rPr>
          <w:b/>
          <w:bCs/>
        </w:rPr>
        <w:t>"инновация"</w:t>
      </w:r>
      <w:r w:rsidRPr="00577A1D">
        <w:t> в переводе с латинского языка означает "обновление, новшество или изменение".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Применительно к педагогическому процессу инновация означает введение нового в цели, содержание, методы и формы обучения и воспитания, организацию совместной деятельности учителя и учащегося.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 xml:space="preserve">       Мудрость обитателей пустыни говорит: «Можно привести верблюда на водопой, но нельзя заставить его напиться». Эта пословица отражает основной принцип обучения - можно создать все необходимые условия для обучения, но </w:t>
      </w:r>
      <w:proofErr w:type="gramStart"/>
      <w:r w:rsidRPr="00577A1D">
        <w:t>само познание</w:t>
      </w:r>
      <w:proofErr w:type="gramEnd"/>
      <w:r w:rsidRPr="00577A1D">
        <w:t xml:space="preserve"> произойдет только тогда, когда ученик захочет узнать. Как сделать так, чтобы ученик чувствовал себя нужным на каждом этапе урока, был полноценным членом единой команды класса?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 xml:space="preserve">        Другая мудрость учит: «Скажи мне - я забуду. Покажи мне - я запомню. Дай мне действовать самому - и я научусь» По такому принципу в основу обучения положена собственная активная деятельность. И поэтому, одним из путей повышения результативности в изучении школьных предметов является внедрение активных форм работы на разных этапах урока.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В своей работе я используют следующие современные образовательные технологии или их элементы. Остановлюсь на тех, которые я внедряю на протяжении последних лет.</w:t>
      </w:r>
    </w:p>
    <w:p w:rsidR="008F4F3F" w:rsidRPr="00577A1D" w:rsidRDefault="008F4F3F" w:rsidP="00577A1D">
      <w:pPr>
        <w:pStyle w:val="a3"/>
        <w:numPr>
          <w:ilvl w:val="0"/>
          <w:numId w:val="11"/>
        </w:numPr>
        <w:shd w:val="clear" w:color="auto" w:fill="FFFFFF"/>
        <w:spacing w:before="0" w:beforeAutospacing="0" w:after="300" w:afterAutospacing="0"/>
        <w:jc w:val="both"/>
      </w:pPr>
      <w:r w:rsidRPr="00577A1D">
        <w:rPr>
          <w:b/>
          <w:bCs/>
          <w:i/>
          <w:iCs/>
          <w:u w:val="single"/>
        </w:rPr>
        <w:t>Проблемное обучение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Использование методов, основанных на создании проблемных ситуаций и активной познавательной деятельности учащихся, позволяет нацелить ребят на поиск и решение сложных вопросов, требующих актуализации знаний. Проблемную ситуацию на уроке создают с помощью активизирующих действий, вопросов, подчеркивающих новизну, важность объекта познания.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Проблемные ситуации могу использовать на различных этапах урока: при объяснении, закреплении, контроле. Таким образом, проблемное обучение позволяет направлять учащихся на приобретение знаний, умений и навыков, на усвоение способов самостоятельной деятельности, на развитие познавательных и творческих способностей.</w:t>
      </w:r>
    </w:p>
    <w:p w:rsidR="008F4F3F" w:rsidRPr="00577A1D" w:rsidRDefault="008F4F3F" w:rsidP="00577A1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</w:pPr>
      <w:r w:rsidRPr="00577A1D">
        <w:rPr>
          <w:b/>
          <w:bCs/>
          <w:i/>
          <w:iCs/>
          <w:u w:val="single"/>
        </w:rPr>
        <w:t xml:space="preserve">Исследовательские </w:t>
      </w:r>
      <w:r w:rsidR="00777ACD" w:rsidRPr="00577A1D">
        <w:rPr>
          <w:b/>
          <w:bCs/>
          <w:i/>
          <w:iCs/>
          <w:u w:val="single"/>
        </w:rPr>
        <w:t xml:space="preserve"> проектные </w:t>
      </w:r>
      <w:r w:rsidRPr="00577A1D">
        <w:rPr>
          <w:b/>
          <w:bCs/>
          <w:i/>
          <w:iCs/>
          <w:u w:val="single"/>
        </w:rPr>
        <w:t>методы в обучении.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Дают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учащегося.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Уже с 1 класса мы начинаем делать небольшие проекты по предметам. Детям помощь оказывают родители.</w:t>
      </w:r>
    </w:p>
    <w:p w:rsidR="00B818A3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Разработана программа  по внеурочной деятельности «</w:t>
      </w:r>
      <w:r w:rsidR="00B818A3" w:rsidRPr="00577A1D">
        <w:t>Юные</w:t>
      </w:r>
      <w:r w:rsidRPr="00577A1D">
        <w:t xml:space="preserve"> исследователи» д</w:t>
      </w:r>
      <w:r w:rsidR="00B818A3" w:rsidRPr="00577A1D">
        <w:t>ля учащихся 1 класса.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lastRenderedPageBreak/>
        <w:t xml:space="preserve"> Актуальность программы также обусловлена ее методологической значимостью.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вузах. Программа позволяет реализовать актуальные в настоящее время </w:t>
      </w:r>
      <w:proofErr w:type="spellStart"/>
      <w:r w:rsidRPr="00577A1D">
        <w:t>компетентностный</w:t>
      </w:r>
      <w:proofErr w:type="spellEnd"/>
      <w:r w:rsidRPr="00577A1D">
        <w:t xml:space="preserve">, </w:t>
      </w:r>
      <w:proofErr w:type="gramStart"/>
      <w:r w:rsidRPr="00577A1D">
        <w:t>личностно-ориентированный</w:t>
      </w:r>
      <w:proofErr w:type="gramEnd"/>
      <w:r w:rsidRPr="00577A1D">
        <w:t xml:space="preserve">, </w:t>
      </w:r>
      <w:proofErr w:type="spellStart"/>
      <w:r w:rsidRPr="00577A1D">
        <w:t>деятельностный</w:t>
      </w:r>
      <w:proofErr w:type="spellEnd"/>
      <w:r w:rsidRPr="00577A1D">
        <w:t xml:space="preserve"> подходы.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t>Особенностью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 </w:t>
      </w:r>
      <w:r w:rsidRPr="00577A1D">
        <w:rPr>
          <w:i/>
          <w:iCs/>
        </w:rPr>
        <w:t>принципов</w:t>
      </w:r>
      <w:r w:rsidRPr="00577A1D">
        <w:t>: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t>а) непрерывности дополнительного образования как механизма полноты и целостности образования в целом;</w:t>
      </w:r>
      <w:r w:rsidRPr="00577A1D">
        <w:br/>
        <w:t>б) развития индивидуальности каждого ребенка в процессе социального самоопределения в системе внеурочной деятельности; </w:t>
      </w:r>
      <w:r w:rsidRPr="00577A1D">
        <w:br/>
        <w:t>в) системности организации учебно-воспитательного процесса;</w:t>
      </w:r>
      <w:r w:rsidRPr="00577A1D">
        <w:br/>
        <w:t>г) раскрытия способностей и поддержки одаренности детей.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rPr>
          <w:b/>
          <w:bCs/>
        </w:rPr>
        <w:t>Цели: </w:t>
      </w:r>
      <w:r w:rsidRPr="00577A1D">
        <w:t>развитие познавательной сферы первоклассников; сплочение классного коллектива; повышение уровня самостоятельности при выполнении учебных действий; развитие основ самообразования и исследовательской деятельности; создание положительной мотивации к учебной деятельности.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rPr>
          <w:b/>
          <w:bCs/>
        </w:rPr>
        <w:t>Задачи: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>Создание условий, способствующих формированию навыка сотрудничества.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>Научить детей вести дискуссию и отстаивать свою точку зрения.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>Развитие способности понимать других людей.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 xml:space="preserve">Развитие способности сознательной дисциплины и </w:t>
      </w:r>
      <w:proofErr w:type="spellStart"/>
      <w:r w:rsidRPr="00577A1D">
        <w:t>саморегуляции</w:t>
      </w:r>
      <w:proofErr w:type="spellEnd"/>
      <w:r w:rsidRPr="00577A1D">
        <w:t xml:space="preserve"> поведения.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>Развитие произвольной сферы учащихся.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>Развитие творческого воображения.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>Развитие эмоциональной сферы учащихся; способности понимать эмоциональное состояние другого человека и умение адекватно выразить свое.</w:t>
      </w:r>
    </w:p>
    <w:p w:rsidR="00B818A3" w:rsidRPr="00577A1D" w:rsidRDefault="00B818A3" w:rsidP="00577A1D">
      <w:pPr>
        <w:pStyle w:val="a3"/>
        <w:numPr>
          <w:ilvl w:val="0"/>
          <w:numId w:val="12"/>
        </w:numPr>
        <w:shd w:val="clear" w:color="auto" w:fill="FFFFFF"/>
        <w:spacing w:before="0" w:beforeAutospacing="0" w:after="150" w:afterAutospacing="0"/>
        <w:jc w:val="both"/>
      </w:pPr>
      <w:r w:rsidRPr="00577A1D">
        <w:t xml:space="preserve">Воспитание </w:t>
      </w:r>
      <w:proofErr w:type="spellStart"/>
      <w:r w:rsidRPr="00577A1D">
        <w:t>коммуникативности</w:t>
      </w:r>
      <w:proofErr w:type="spellEnd"/>
      <w:r w:rsidRPr="00577A1D">
        <w:t>, инициативности, самостоятельности.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t xml:space="preserve"> На курс “Юные исследователи” отводится 1 час в неделю. Курс входит в раздел учебного плана “Внеурочная деятельность”, направление – “Проектная деятельность”.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t>В результате изучения курса “Юные исследователи” учащиеся могут научиться:</w:t>
      </w:r>
    </w:p>
    <w:p w:rsidR="00B818A3" w:rsidRPr="00577A1D" w:rsidRDefault="00B818A3" w:rsidP="00577A1D">
      <w:pPr>
        <w:pStyle w:val="a3"/>
        <w:shd w:val="clear" w:color="auto" w:fill="FFFFFF"/>
        <w:spacing w:before="0" w:beforeAutospacing="0" w:after="150" w:afterAutospacing="0"/>
      </w:pPr>
      <w:r w:rsidRPr="00577A1D">
        <w:t>– основам информационных технологий;</w:t>
      </w:r>
      <w:r w:rsidRPr="00577A1D">
        <w:br/>
        <w:t>– основам исследовательской деятельности;</w:t>
      </w:r>
      <w:r w:rsidRPr="00577A1D">
        <w:br/>
        <w:t>– аналитически мыслить;</w:t>
      </w:r>
      <w:r w:rsidRPr="00577A1D">
        <w:br/>
        <w:t>– вести дискуссию и отстаивать свою точку зрения;</w:t>
      </w:r>
      <w:r w:rsidRPr="00577A1D">
        <w:br/>
        <w:t>– основам оформления работ.</w:t>
      </w:r>
    </w:p>
    <w:p w:rsidR="00B818A3" w:rsidRPr="00577A1D" w:rsidRDefault="00B818A3" w:rsidP="00577A1D">
      <w:pPr>
        <w:ind w:left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 учащихся</w:t>
      </w:r>
    </w:p>
    <w:tbl>
      <w:tblPr>
        <w:tblStyle w:val="a4"/>
        <w:tblW w:w="0" w:type="auto"/>
        <w:tblInd w:w="120" w:type="dxa"/>
        <w:tblLook w:val="04A0"/>
      </w:tblPr>
      <w:tblGrid>
        <w:gridCol w:w="1952"/>
        <w:gridCol w:w="7499"/>
      </w:tblGrid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spacing w:line="244" w:lineRule="exact"/>
              <w:ind w:left="8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spacing w:line="244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проекта</w:t>
            </w: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«Мы идём в библиотеку».</w:t>
            </w: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«Родной город»</w:t>
            </w: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«Осень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ора грибная»</w:t>
            </w:r>
          </w:p>
        </w:tc>
      </w:tr>
      <w:tr w:rsidR="00B818A3" w:rsidRPr="00577A1D" w:rsidTr="00556ABC">
        <w:tc>
          <w:tcPr>
            <w:tcW w:w="1874" w:type="dxa"/>
            <w:vAlign w:val="bottom"/>
          </w:tcPr>
          <w:p w:rsidR="00B818A3" w:rsidRPr="00577A1D" w:rsidRDefault="00B818A3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77" w:type="dxa"/>
            <w:vAlign w:val="bottom"/>
          </w:tcPr>
          <w:p w:rsidR="00B818A3" w:rsidRPr="00577A1D" w:rsidRDefault="00B818A3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Наш проект: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вокруг нас.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Форма,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размер,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цвет.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Узоры и орнаменты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«Красная книга,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gramStart"/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озьмём под защиту»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Наши проекты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. «И в шутку и всерьёз»</w:t>
            </w:r>
            <w:r w:rsidRPr="00577A1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Наши проекты.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Пишем письмо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Наши проекты.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профессий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примеров и задач изученных видов. 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«Оригами»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р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одословная»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«Бабочки»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ветервну</w:t>
            </w:r>
            <w:proofErr w:type="spellEnd"/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Наш проект «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Словари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8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8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«Города России»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нашей Родины»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композитора». (П.Чайковский,</w:t>
            </w: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С.Прокофьев).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2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spacing w:line="235" w:lineRule="exact"/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«Страны мира».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jc w:val="both"/>
              <w:rPr>
                <w:b/>
                <w:sz w:val="24"/>
                <w:szCs w:val="24"/>
              </w:rPr>
            </w:pPr>
            <w:r w:rsidRPr="00577A1D">
              <w:rPr>
                <w:b/>
                <w:sz w:val="24"/>
                <w:szCs w:val="24"/>
              </w:rPr>
              <w:t xml:space="preserve">Исследовательские работы и проекты, представленные на </w:t>
            </w:r>
            <w:proofErr w:type="spellStart"/>
            <w:r w:rsidRPr="00577A1D">
              <w:rPr>
                <w:b/>
                <w:sz w:val="24"/>
                <w:szCs w:val="24"/>
              </w:rPr>
              <w:t>районныой</w:t>
            </w:r>
            <w:proofErr w:type="spellEnd"/>
            <w:r w:rsidRPr="00577A1D">
              <w:rPr>
                <w:b/>
                <w:sz w:val="24"/>
                <w:szCs w:val="24"/>
              </w:rPr>
              <w:t xml:space="preserve"> и республиканской конференции за три последних года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«Какой привес дают домашние птицы»</w:t>
            </w:r>
          </w:p>
        </w:tc>
      </w:tr>
      <w:tr w:rsidR="00556ABC" w:rsidRPr="00577A1D" w:rsidTr="00556ABC">
        <w:tc>
          <w:tcPr>
            <w:tcW w:w="1874" w:type="dxa"/>
            <w:vMerge w:val="restart"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«Какие рыбы водятся в озере </w:t>
            </w:r>
            <w:proofErr w:type="gramStart"/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Гусиное</w:t>
            </w:r>
            <w:proofErr w:type="gramEnd"/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56ABC" w:rsidRPr="00577A1D" w:rsidTr="00556ABC">
        <w:tc>
          <w:tcPr>
            <w:tcW w:w="1874" w:type="dxa"/>
            <w:vMerge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 Солнечный зайчик»</w:t>
            </w:r>
          </w:p>
        </w:tc>
      </w:tr>
      <w:tr w:rsidR="00556ABC" w:rsidRPr="00577A1D" w:rsidTr="00556ABC">
        <w:tc>
          <w:tcPr>
            <w:tcW w:w="1874" w:type="dxa"/>
            <w:vMerge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«Сколько весит здоровье ученика»</w:t>
            </w:r>
          </w:p>
        </w:tc>
      </w:tr>
      <w:tr w:rsidR="00556ABC" w:rsidRPr="00577A1D" w:rsidTr="00556ABC">
        <w:tc>
          <w:tcPr>
            <w:tcW w:w="1874" w:type="dxa"/>
            <w:vMerge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Гастрономический проект «Поедим, поедим»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sz w:val="24"/>
                <w:szCs w:val="24"/>
              </w:rPr>
              <w:t>2017-2019</w:t>
            </w: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«Кто такие ручейники»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«Сиреневый сад»</w:t>
            </w:r>
          </w:p>
        </w:tc>
      </w:tr>
      <w:tr w:rsidR="00556ABC" w:rsidRPr="00577A1D" w:rsidTr="00556ABC">
        <w:tc>
          <w:tcPr>
            <w:tcW w:w="1874" w:type="dxa"/>
            <w:vAlign w:val="bottom"/>
          </w:tcPr>
          <w:p w:rsidR="00556ABC" w:rsidRPr="00577A1D" w:rsidRDefault="00556ABC" w:rsidP="00577A1D">
            <w:pPr>
              <w:spacing w:line="242" w:lineRule="exact"/>
              <w:ind w:lef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7" w:type="dxa"/>
            <w:vAlign w:val="bottom"/>
          </w:tcPr>
          <w:p w:rsidR="00556ABC" w:rsidRPr="00577A1D" w:rsidRDefault="00556ABC" w:rsidP="00577A1D">
            <w:pPr>
              <w:ind w:left="10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«Влияние шума на здоровье человека»</w:t>
            </w:r>
          </w:p>
        </w:tc>
      </w:tr>
    </w:tbl>
    <w:p w:rsidR="00B818A3" w:rsidRPr="00577A1D" w:rsidRDefault="00B818A3" w:rsidP="00577A1D">
      <w:pPr>
        <w:ind w:left="120"/>
        <w:jc w:val="both"/>
        <w:rPr>
          <w:sz w:val="24"/>
          <w:szCs w:val="24"/>
        </w:rPr>
      </w:pP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0" w:afterAutospacing="0"/>
        <w:jc w:val="both"/>
      </w:pPr>
      <w:r w:rsidRPr="00577A1D">
        <w:t> </w:t>
      </w:r>
    </w:p>
    <w:p w:rsidR="008F4F3F" w:rsidRPr="00577A1D" w:rsidRDefault="008F4F3F" w:rsidP="00577A1D">
      <w:pPr>
        <w:pStyle w:val="a3"/>
        <w:shd w:val="clear" w:color="auto" w:fill="FFFFFF"/>
        <w:spacing w:before="0" w:beforeAutospacing="0" w:after="300" w:afterAutospacing="0"/>
        <w:jc w:val="both"/>
      </w:pPr>
      <w:r w:rsidRPr="00577A1D">
        <w:t>Обучая учащихся действовать в пределах проектной технологии, учитель стимулирует обучение детей, учит их самостоятельно получать знания из различных источников, пользоваться этими знаниями в жизни, развивает у детей навыки аналитического,  критического и творческого мышления.</w:t>
      </w:r>
    </w:p>
    <w:p w:rsidR="00777ACD" w:rsidRPr="00577A1D" w:rsidRDefault="00777ACD" w:rsidP="00577A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77A1D">
        <w:rPr>
          <w:b/>
          <w:bCs/>
          <w:i/>
          <w:iCs/>
          <w:sz w:val="24"/>
          <w:szCs w:val="24"/>
          <w:u w:val="single"/>
        </w:rPr>
        <w:t>3</w:t>
      </w:r>
      <w:r w:rsidR="008F4F3F" w:rsidRPr="00577A1D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  <w:r w:rsidR="00556ABC" w:rsidRPr="00577A1D">
        <w:rPr>
          <w:b/>
          <w:bCs/>
          <w:i/>
          <w:iCs/>
          <w:sz w:val="24"/>
          <w:szCs w:val="24"/>
          <w:u w:val="single"/>
        </w:rPr>
        <w:t>Здоровьезберегающие технологии</w:t>
      </w: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</w:p>
    <w:p w:rsidR="00777ACD" w:rsidRPr="00577A1D" w:rsidRDefault="00777ACD" w:rsidP="00577A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2018 я прочитала статью о науке – </w:t>
      </w:r>
      <w:proofErr w:type="spell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кинезиологии</w:t>
      </w:r>
      <w:proofErr w:type="spellEnd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это наука о развитии умственных способностей и физического здоровья, через определенные двигательные упражнения, о  </w:t>
      </w: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развитии головного мозга через движение. Она существует уже двести лет и используется во всем мире.</w:t>
      </w:r>
    </w:p>
    <w:p w:rsidR="00777ACD" w:rsidRPr="00577A1D" w:rsidRDefault="00777ACD" w:rsidP="00577A1D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Кинезиологические</w:t>
      </w:r>
      <w:proofErr w:type="spellEnd"/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упражнение – это комплекс движений позволяющих активизировать межполушарное воздействие. </w:t>
      </w:r>
      <w:proofErr w:type="spellStart"/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Кинезиологическими</w:t>
      </w:r>
      <w:proofErr w:type="spellEnd"/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 пользовались Гиппократ и Аристотель.</w:t>
      </w:r>
    </w:p>
    <w:p w:rsidR="00777ACD" w:rsidRPr="00577A1D" w:rsidRDefault="00777ACD" w:rsidP="00577A1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77A1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Основная цель </w:t>
      </w:r>
      <w:proofErr w:type="spellStart"/>
      <w:r w:rsidRPr="00577A1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кинезиологии</w:t>
      </w:r>
      <w:proofErr w:type="spellEnd"/>
      <w:r w:rsidRPr="00577A1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:</w:t>
      </w:r>
    </w:p>
    <w:p w:rsidR="00777ACD" w:rsidRPr="00577A1D" w:rsidRDefault="00777ACD" w:rsidP="00577A1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Развитие межполушарного воздействия, способствующее активизации мыслительной деятельности. </w:t>
      </w:r>
    </w:p>
    <w:p w:rsidR="00777ACD" w:rsidRPr="00577A1D" w:rsidRDefault="00777ACD" w:rsidP="00577A1D">
      <w:pPr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Задачи: синхронизация работы полушарий; развитие мелкой моторики; развитие способностей; развитие памяти, внимания, речи; развитие мышления.</w:t>
      </w:r>
      <w:r w:rsidRPr="00577A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proofErr w:type="gramEnd"/>
    </w:p>
    <w:p w:rsidR="00777ACD" w:rsidRPr="00577A1D" w:rsidRDefault="00777ACD" w:rsidP="00577A1D">
      <w:pPr>
        <w:jc w:val="both"/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        Мозг человека представляет собой «содружество» функционально ассиметричных полушарий левого и правого. Каждое из них является не зеркальным отображением </w:t>
      </w:r>
      <w:proofErr w:type="gram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другого</w:t>
      </w:r>
      <w:proofErr w:type="gramEnd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а необходимым дополнением. Для того</w:t>
      </w:r>
      <w:proofErr w:type="gram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чтобы творчески осмыслить любую </w:t>
      </w:r>
    </w:p>
    <w:p w:rsidR="00777ACD" w:rsidRPr="00577A1D" w:rsidRDefault="00777ACD" w:rsidP="00577A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577A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Под влиянием </w:t>
      </w:r>
      <w:proofErr w:type="spell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кинезиологических</w:t>
      </w:r>
      <w:proofErr w:type="spellEnd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тренировок в организме происходят положительные структурные изменения. При этом</w:t>
      </w:r>
      <w:proofErr w:type="gram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proofErr w:type="gramEnd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чем интенсивнее нагрузка, тем значительнее эти изменения. Данная методика позволяет выявить скрытые способности ребёнка и расширить границы возможностей его мозга.</w:t>
      </w:r>
      <w:r w:rsidRPr="00577A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</w:t>
      </w:r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br/>
        <w:t xml:space="preserve">      На уроках с учащимися каждый день делаем упражнения на пальчиках, для глаз, упражнения для </w:t>
      </w:r>
      <w:proofErr w:type="spellStart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реалаксации</w:t>
      </w:r>
      <w:proofErr w:type="spellEnd"/>
      <w:r w:rsidRPr="00577A1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777ACD" w:rsidRPr="00577A1D" w:rsidRDefault="00777ACD" w:rsidP="00577A1D">
      <w:pPr>
        <w:spacing w:after="0"/>
        <w:ind w:firstLine="708"/>
        <w:jc w:val="both"/>
        <w:rPr>
          <w:sz w:val="24"/>
          <w:szCs w:val="24"/>
        </w:rPr>
      </w:pPr>
    </w:p>
    <w:p w:rsidR="00B9692E" w:rsidRPr="00577A1D" w:rsidRDefault="00B9692E" w:rsidP="00577A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Анализируя  </w:t>
      </w:r>
      <w:proofErr w:type="spellStart"/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работы, работы  по написанию ВПР,  позволило  выделить  недостатки</w:t>
      </w:r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577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подготовке выпускников начальной.  </w:t>
      </w:r>
    </w:p>
    <w:p w:rsidR="00B9692E" w:rsidRPr="00577A1D" w:rsidRDefault="00B9692E" w:rsidP="00577A1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B9692E" w:rsidRPr="00577A1D" w:rsidRDefault="00B9692E" w:rsidP="00577A1D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основную мысль текста</w:t>
      </w:r>
      <w:proofErr w:type="gramStart"/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9692E" w:rsidRPr="00577A1D" w:rsidRDefault="00B9692E" w:rsidP="00577A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составлять план текста</w:t>
      </w:r>
      <w:proofErr w:type="gramStart"/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9692E" w:rsidRPr="00577A1D" w:rsidRDefault="00B9692E" w:rsidP="00577A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текст, использовать информацию для практического применения;</w:t>
      </w:r>
    </w:p>
    <w:p w:rsidR="00B9692E" w:rsidRPr="00577A1D" w:rsidRDefault="00B9692E" w:rsidP="00577A1D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владеть нормами речевого поведения.</w:t>
      </w:r>
    </w:p>
    <w:p w:rsidR="00B9692E" w:rsidRPr="00577A1D" w:rsidRDefault="00B9692E" w:rsidP="00577A1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учащиеся не понимают прочитанное и соответственно неправильно выполняют задание.</w:t>
      </w:r>
    </w:p>
    <w:p w:rsidR="008F4F3F" w:rsidRPr="00577A1D" w:rsidRDefault="00B9692E" w:rsidP="00577A1D">
      <w:pPr>
        <w:pStyle w:val="a3"/>
        <w:shd w:val="clear" w:color="auto" w:fill="FFFFFF"/>
        <w:spacing w:before="0" w:beforeAutospacing="0" w:after="0" w:afterAutospacing="0"/>
        <w:jc w:val="both"/>
      </w:pPr>
      <w:r w:rsidRPr="00577A1D">
        <w:t xml:space="preserve">По математике, при решении текстовых задач – неправильное понимание </w:t>
      </w:r>
      <w:proofErr w:type="gramStart"/>
      <w:r w:rsidRPr="00577A1D">
        <w:t>прочитанного</w:t>
      </w:r>
      <w:proofErr w:type="gramEnd"/>
      <w:r w:rsidRPr="00577A1D">
        <w:t>. И как следствие неправильное решение.</w:t>
      </w:r>
    </w:p>
    <w:p w:rsidR="00B9692E" w:rsidRPr="00577A1D" w:rsidRDefault="00B9692E" w:rsidP="00577A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D">
        <w:rPr>
          <w:sz w:val="24"/>
          <w:szCs w:val="24"/>
        </w:rPr>
        <w:t xml:space="preserve">   В 2018 году мы приобрели сборники по смысловому чтению </w:t>
      </w:r>
      <w:proofErr w:type="spellStart"/>
      <w:r w:rsidR="00577A1D">
        <w:rPr>
          <w:sz w:val="24"/>
          <w:szCs w:val="24"/>
        </w:rPr>
        <w:t>М.В.</w:t>
      </w:r>
      <w:r w:rsidRPr="00577A1D">
        <w:rPr>
          <w:sz w:val="24"/>
          <w:szCs w:val="24"/>
        </w:rPr>
        <w:t>Беденко</w:t>
      </w:r>
      <w:proofErr w:type="spellEnd"/>
      <w:r w:rsidRPr="00577A1D">
        <w:rPr>
          <w:sz w:val="24"/>
          <w:szCs w:val="24"/>
        </w:rPr>
        <w:t>. Была разработана программа по развитию смыслового чтения  для учащихся 2 класса.</w:t>
      </w:r>
      <w:r w:rsidRPr="00577A1D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B9692E" w:rsidRPr="00577A1D" w:rsidRDefault="00B9692E" w:rsidP="00577A1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7A1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вычитывание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</w:t>
      </w:r>
      <w:r w:rsidRPr="00577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Смысловое чтение не может существовать без познавательной деятельности. Ведь для того, чтобы чтение было смысловым, учащимся </w:t>
      </w: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необходимо точно и полно понимать содержание текста, составлять свою систему образов, осмысливать информацию, т.е. осуществлять познавательную деятельность.</w:t>
      </w:r>
    </w:p>
    <w:p w:rsidR="00B9692E" w:rsidRPr="00577A1D" w:rsidRDefault="00B9692E" w:rsidP="00577A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смыслового понимания недостаточно просто прочесть текст, необходимо дать оценку информации, откликнуться на содержание.</w:t>
      </w:r>
      <w:r w:rsidRPr="00577A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Поскольку смысловое чтение является </w:t>
      </w:r>
      <w:proofErr w:type="spellStart"/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метапредметным</w:t>
      </w:r>
      <w:proofErr w:type="spellEnd"/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навыком, то составляющие его части будут в структуре всех универсальных учебных действий:</w:t>
      </w:r>
    </w:p>
    <w:p w:rsidR="00B9692E" w:rsidRPr="00577A1D" w:rsidRDefault="00B9692E" w:rsidP="00577A1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личностные УУД входят мотивация чтения, мотивы учения, отношение к себе и к школе;</w:t>
      </w:r>
    </w:p>
    <w:p w:rsidR="00B9692E" w:rsidRPr="00577A1D" w:rsidRDefault="00B9692E" w:rsidP="00577A1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регулятивные УУД - принятие учеником учебной задачи, произвольная регуляция деятельности;</w:t>
      </w:r>
    </w:p>
    <w:p w:rsidR="00B9692E" w:rsidRPr="00577A1D" w:rsidRDefault="00B9692E" w:rsidP="00577A1D">
      <w:pPr>
        <w:numPr>
          <w:ilvl w:val="0"/>
          <w:numId w:val="1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познавательные УУД – логическое и абстрактное мышление, оперативная память, творческое воображение, концентрация внимания, объем словаря.</w:t>
      </w:r>
    </w:p>
    <w:p w:rsidR="00B9692E" w:rsidRPr="00577A1D" w:rsidRDefault="00B9692E" w:rsidP="00577A1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7A1D">
        <w:rPr>
          <w:rFonts w:ascii="Times New Roman" w:eastAsia="Calibri" w:hAnsi="Times New Roman" w:cs="Times New Roman"/>
          <w:sz w:val="24"/>
          <w:szCs w:val="24"/>
        </w:rPr>
        <w:t>Я выступила на районном семинаре по данной теме с докладом «Смысловое чтение, как средство формирование УУД младших школьников», с результатами по чтению.</w:t>
      </w:r>
    </w:p>
    <w:p w:rsidR="00577A1D" w:rsidRPr="00577A1D" w:rsidRDefault="00577A1D" w:rsidP="00577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7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Чтение – предмет, который одновременно является действенным средством обучения младшего школьника и инструментом для изучения любых предметов. В первом классе некоторые дети не могут освоить чтение, для этого им нужно длительное время.  Разработала дидактический материал для  индивидуального обучения чтению слабых детей.</w:t>
      </w:r>
    </w:p>
    <w:p w:rsidR="00577A1D" w:rsidRPr="00577A1D" w:rsidRDefault="00577A1D" w:rsidP="00577A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Я   подобрала упражнения для развития навыка чтения с передовыми технологиями Зайцева Н.А.., Жуковой Н.С.. Он начинается от самого простого - составляющих таблиц и видами работы с ними, затем упражнений со словами, и наконец, работы с   текстами. Были приобретены кубики Н.А. Зайцева.</w:t>
      </w:r>
      <w:r w:rsidRPr="00577A1D">
        <w:rPr>
          <w:rFonts w:ascii="Times New Roman" w:hAnsi="Times New Roman" w:cs="Times New Roman"/>
          <w:sz w:val="24"/>
          <w:szCs w:val="24"/>
        </w:rPr>
        <w:br/>
        <w:t xml:space="preserve">       Формировать навык чтения необходимо постепенно и последовательно, начиная со звукового анализа слова, а затем переходить к чтению слогов, слов, предложений и текстов.              Знакомство со звуками - начальный этап обучения ребенка чтению. К моменту поступления в школу малыш должен правильно и отчетливо произносить все звуки родного языка.       </w:t>
      </w:r>
    </w:p>
    <w:p w:rsidR="00577A1D" w:rsidRPr="00577A1D" w:rsidRDefault="00577A1D" w:rsidP="00577A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77A1D">
        <w:t xml:space="preserve">    Малыш должен иметь представление о гласных и согласных звуках, различать твердые и мягкие, звонкие и глухие согласные звуки. </w:t>
      </w:r>
    </w:p>
    <w:p w:rsidR="00577A1D" w:rsidRPr="00577A1D" w:rsidRDefault="00577A1D" w:rsidP="00577A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77A1D">
        <w:t xml:space="preserve">    Следующий этап обучения чтению - формирование базового навыка - умения читать слоги. Важно, чтобы малыш называл буквы не по отдельности, а читал слог сразу, плавно </w:t>
      </w:r>
      <w:proofErr w:type="spellStart"/>
      <w:r w:rsidRPr="00577A1D">
        <w:t>пропевая</w:t>
      </w:r>
      <w:proofErr w:type="spellEnd"/>
      <w:r w:rsidRPr="00577A1D">
        <w:t xml:space="preserve"> его, как песенку. </w:t>
      </w:r>
    </w:p>
    <w:p w:rsidR="00577A1D" w:rsidRPr="00577A1D" w:rsidRDefault="00577A1D" w:rsidP="00577A1D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77A1D">
        <w:lastRenderedPageBreak/>
        <w:t xml:space="preserve">     Хорошо освоив навык чтения открытых и закрытых слогов, ребенок переходит к чтению слов - сначала простых, а затем более сложных. Если ребенок хорошо читает слова, следует переходить к чтению предложений. Малыш должен знать, что предложение может состоять из одного или нескольких слов, а первое слово всегда пишется с большой буквы. Хорошо сформированный навык чтения слов и предложений позволяет малышу перейти к чтению небольших текстов.  </w:t>
      </w:r>
    </w:p>
    <w:p w:rsidR="00DE4725" w:rsidRPr="00577A1D" w:rsidRDefault="008F4F3F" w:rsidP="00577A1D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77A1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</w:t>
      </w:r>
    </w:p>
    <w:p w:rsidR="00DE4725" w:rsidRPr="00577A1D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577A1D">
        <w:rPr>
          <w:b/>
          <w:bCs/>
        </w:rPr>
        <w:t>Обращение к учителю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bCs/>
          <w:iCs/>
        </w:rPr>
        <w:t xml:space="preserve">Все дети рождаются быть успешными. </w:t>
      </w:r>
      <w:proofErr w:type="gramStart"/>
      <w:r w:rsidRPr="00354AF9">
        <w:rPr>
          <w:bCs/>
          <w:iCs/>
        </w:rPr>
        <w:t>Единственное</w:t>
      </w:r>
      <w:proofErr w:type="gramEnd"/>
      <w:r w:rsidRPr="00354AF9">
        <w:rPr>
          <w:bCs/>
          <w:iCs/>
        </w:rPr>
        <w:t xml:space="preserve">, в чем они нуждаются – в развитии своих талантов. Я твердо верю в это. Вера - </w:t>
      </w:r>
      <w:proofErr w:type="gramStart"/>
      <w:r w:rsidRPr="00354AF9">
        <w:rPr>
          <w:bCs/>
          <w:iCs/>
        </w:rPr>
        <w:t>двигает горы… Вера в учеников может</w:t>
      </w:r>
      <w:proofErr w:type="gramEnd"/>
      <w:r w:rsidRPr="00354AF9">
        <w:rPr>
          <w:bCs/>
          <w:iCs/>
        </w:rPr>
        <w:t xml:space="preserve"> поднять их на такие высоты, которые нам трудно даже представить.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bCs/>
          <w:iCs/>
        </w:rPr>
        <w:t>Каждый день можно собирать большой урожай детских успехов.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bCs/>
          <w:iCs/>
        </w:rPr>
        <w:t>Не позволяйте ни одному ребенку быть неудачником. Учите их так, как будто каждый - независимо от семейных условий –</w:t>
      </w:r>
      <w:r w:rsidR="00354AF9">
        <w:rPr>
          <w:bCs/>
          <w:iCs/>
        </w:rPr>
        <w:t xml:space="preserve"> </w:t>
      </w:r>
      <w:r w:rsidRPr="00354AF9">
        <w:rPr>
          <w:bCs/>
          <w:iCs/>
        </w:rPr>
        <w:t>сын или дочь Короля!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bCs/>
          <w:iCs/>
        </w:rPr>
        <w:t>Учите со страстью, учите с преданностью и стальной уверенностью в успехе, которая не позволит учащимся соскользнуть в неуспех.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bCs/>
          <w:iCs/>
        </w:rPr>
        <w:t>Никогда не падайте духом!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bCs/>
          <w:iCs/>
        </w:rPr>
        <w:t>У Вас все получится!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  <w:r w:rsidRPr="00354AF9">
        <w:rPr>
          <w:iCs/>
        </w:rPr>
        <w:t>Какие бы у вас не были дети одарённые и неодарённые, послушные и непослушные , я желаю вам слышать только слова благодарности от учеников, их родителей и от всех окружающих</w:t>
      </w:r>
    </w:p>
    <w:p w:rsidR="00DE4725" w:rsidRPr="00354AF9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</w:p>
    <w:p w:rsidR="00DE4725" w:rsidRPr="00577A1D" w:rsidRDefault="00DE4725" w:rsidP="00577A1D">
      <w:pPr>
        <w:pStyle w:val="a3"/>
        <w:shd w:val="clear" w:color="auto" w:fill="FFFFFF"/>
        <w:spacing w:before="0" w:beforeAutospacing="0" w:after="150" w:afterAutospacing="0"/>
        <w:jc w:val="both"/>
      </w:pPr>
    </w:p>
    <w:sectPr w:rsidR="00DE4725" w:rsidRPr="00577A1D" w:rsidSect="004A5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2C2"/>
    <w:multiLevelType w:val="multilevel"/>
    <w:tmpl w:val="D6BC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D5CC9"/>
    <w:multiLevelType w:val="multilevel"/>
    <w:tmpl w:val="C8366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F6CE3"/>
    <w:multiLevelType w:val="multilevel"/>
    <w:tmpl w:val="06A8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33703"/>
    <w:multiLevelType w:val="multilevel"/>
    <w:tmpl w:val="5E320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74BB6"/>
    <w:multiLevelType w:val="multilevel"/>
    <w:tmpl w:val="9F00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B0BA5"/>
    <w:multiLevelType w:val="multilevel"/>
    <w:tmpl w:val="5C4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24448"/>
    <w:multiLevelType w:val="multilevel"/>
    <w:tmpl w:val="8B606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257544"/>
    <w:multiLevelType w:val="multilevel"/>
    <w:tmpl w:val="5B74C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eastAsia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661DB8"/>
    <w:multiLevelType w:val="multilevel"/>
    <w:tmpl w:val="93000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C5BF7"/>
    <w:multiLevelType w:val="multilevel"/>
    <w:tmpl w:val="C1F0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830F2"/>
    <w:multiLevelType w:val="hybridMultilevel"/>
    <w:tmpl w:val="E3781FD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E370DE1"/>
    <w:multiLevelType w:val="hybridMultilevel"/>
    <w:tmpl w:val="E89061F8"/>
    <w:lvl w:ilvl="0" w:tplc="106A3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7906FD"/>
    <w:multiLevelType w:val="multilevel"/>
    <w:tmpl w:val="6F441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4C13C2"/>
    <w:multiLevelType w:val="multilevel"/>
    <w:tmpl w:val="D2ACC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E0449E"/>
    <w:multiLevelType w:val="multilevel"/>
    <w:tmpl w:val="5DD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20486A"/>
    <w:multiLevelType w:val="multilevel"/>
    <w:tmpl w:val="96D4C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15"/>
  </w:num>
  <w:num w:numId="8">
    <w:abstractNumId w:val="3"/>
  </w:num>
  <w:num w:numId="9">
    <w:abstractNumId w:val="4"/>
  </w:num>
  <w:num w:numId="10">
    <w:abstractNumId w:val="8"/>
  </w:num>
  <w:num w:numId="11">
    <w:abstractNumId w:val="11"/>
  </w:num>
  <w:num w:numId="12">
    <w:abstractNumId w:val="14"/>
  </w:num>
  <w:num w:numId="13">
    <w:abstractNumId w:val="10"/>
  </w:num>
  <w:num w:numId="14">
    <w:abstractNumId w:val="7"/>
  </w:num>
  <w:num w:numId="15">
    <w:abstractNumId w:val="6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725"/>
    <w:rsid w:val="00354AF9"/>
    <w:rsid w:val="004A5624"/>
    <w:rsid w:val="004F6F3D"/>
    <w:rsid w:val="00556ABC"/>
    <w:rsid w:val="00577A1D"/>
    <w:rsid w:val="00777ACD"/>
    <w:rsid w:val="008F4F3F"/>
    <w:rsid w:val="00B818A3"/>
    <w:rsid w:val="00B9692E"/>
    <w:rsid w:val="00D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81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7ACD"/>
  </w:style>
  <w:style w:type="paragraph" w:styleId="a5">
    <w:name w:val="List Paragraph"/>
    <w:basedOn w:val="a"/>
    <w:uiPriority w:val="34"/>
    <w:qFormat/>
    <w:rsid w:val="00777ACD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6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2020-03-11T01:16:00Z</dcterms:created>
  <dcterms:modified xsi:type="dcterms:W3CDTF">2020-03-11T02:50:00Z</dcterms:modified>
</cp:coreProperties>
</file>