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spacing w:before="480" w:after="200" w:line="276" w:lineRule="auto"/>
        <w:ind w:firstLine="0"/>
      </w:pPr>
      <w:r>
        <w:rPr>
          <w:rFonts w:ascii="Times New Roman" w:hAnsi="Times New Roman"/>
          <w:b/>
          <w:color w:val="1A3A5C"/>
          <w:sz w:val="36"/>
        </w:rPr>
        <w:t>Использование технологии развития критического мышления на уроках чтения</w:t>
      </w:r>
    </w:p>
    <w:p>
      <w:pPr>
        <w:ind w:firstLine="709"/>
      </w:pPr>
      <w:r>
        <w:rPr>
          <w:rFonts w:ascii="Times New Roman" w:hAnsi="Times New Roman"/>
          <w:color w:val="2D2D2D"/>
          <w:sz w:val="28"/>
        </w:rPr>
        <w:t>Аннотация. В статье рассматривается проблема применения технологии развития критического мышления (ТРКМ) на уроках чтения в начальной школе. Актуальность темы обусловлена необходимостью формирования у младших школьников читательской грамотности, умений анализировать, оценивать и интерпретировать текст в условиях реализации требований федерального государственного образовательного стандарта. Цель работы состоит в теоретическом обосновании и описании методики использования приемов ТРКМ при работе с художественным произведением. В статье раскрываются базовые понятия критического мышления, этапы технологии, конкретные приемы и примеры их включения в структуру урока литературного чтения. Показано, что систематическое применение технологии способствует развитию самостоятельности мышления, смыслового чтения, рефлексивных и коммуникативных умений обучающихся. Делается вывод о целесообразности интеграции ТРКМ в повседневную практику учителя начальных классов.</w:t>
      </w:r>
    </w:p>
    <w:p>
      <w:pPr>
        <w:ind w:firstLine="709"/>
      </w:pPr>
      <w:r>
        <w:rPr>
          <w:rFonts w:ascii="Times New Roman" w:hAnsi="Times New Roman"/>
          <w:color w:val="2D2D2D"/>
          <w:sz w:val="28"/>
        </w:rPr>
        <w:t>Ключевые слова: критическое мышление, технология развития критического мышления, урок чтения, литературное чтение, младшие школьники, смысловое чтение, читательская грамотность, универсальные учебные действия, педагогическая технология, приемы обучения.</w:t>
      </w:r>
    </w:p>
    <w:p>
      <w:pPr>
        <w:pStyle w:val="Heading2"/>
        <w:spacing w:before="480" w:after="200" w:line="276" w:lineRule="auto"/>
        <w:ind w:firstLine="0"/>
      </w:pPr>
      <w:r>
        <w:rPr>
          <w:rFonts w:ascii="Times New Roman" w:hAnsi="Times New Roman"/>
          <w:b/>
          <w:color w:val="C95A2B"/>
          <w:sz w:val="30"/>
        </w:rPr>
        <w:t>Введение</w:t>
      </w:r>
    </w:p>
    <w:p>
      <w:pPr>
        <w:ind w:firstLine="709"/>
      </w:pPr>
      <w:r>
        <w:rPr>
          <w:rFonts w:ascii="Times New Roman" w:hAnsi="Times New Roman"/>
          <w:color w:val="2D2D2D"/>
          <w:sz w:val="28"/>
        </w:rPr>
        <w:t>Современное начальное образование переживает период смены целевых ориентиров: от передачи готовых знаний к формированию у обучающихся способности самостоятельно добывать, осмысливать и применять информацию. В этом контексте особое значение приобретает урок литературного чтения, который традиционно считается не только средством приобщения к книге, но и важнейшим инструментом развития мышления. Федеральный государственный образовательный стандарт начального общего образования прямо указывает на необходимость формирования у младших школьников «навыков смыслового чтения текстов различных стилей и жанров», «овладения логическими действиями сравнения, анализа, синтеза, обобщения», «умения строить речевое высказывание» и ряда других метапредметных результатов. Однако практика показывает, что многие учителя начальных классов по-прежнему ограничиваются репродуктивными вопросами по содержанию прочитанного, не выходя на уровень оценки, интерпретации и самостоятельного суждения. Возникает противоречие между требованиями стандарта и реальной организацией учебного процесса на уроке чтения.</w:t>
      </w:r>
    </w:p>
    <w:p>
      <w:pPr>
        <w:ind w:firstLine="709"/>
      </w:pPr>
      <w:r>
        <w:rPr>
          <w:rFonts w:ascii="Times New Roman" w:hAnsi="Times New Roman"/>
          <w:color w:val="2D2D2D"/>
          <w:sz w:val="28"/>
        </w:rPr>
        <w:t>Данное противоречие может быть разрешено за счет целенаправленного использования современных педагогических технологий, среди которых особое место занимает технология развития критического мышления. Ее ценность состоит в том, что она предлагает четкую структуру урока, основанную на закономерностях познавательной деятельности, и содержит большое количество конкретных приемов, адаптированных для разных возрастных групп. Вместе с тем анализ методической литературы показывает, что многие педагоги испытывают затруднения в переносе приемов ТРКМ на уроки чтения в начальной школе: не всегда учитываются возрастные особенности восприятия художественного текста, недостаточно раскрыта специфика работы с образным содержанием произведения, отсутствуют четкие рекомендации по интеграции технологии в структуру урока литературного чтения.</w:t>
      </w:r>
    </w:p>
    <w:p>
      <w:pPr>
        <w:ind w:firstLine="709"/>
      </w:pPr>
      <w:r>
        <w:rPr>
          <w:rFonts w:ascii="Times New Roman" w:hAnsi="Times New Roman"/>
          <w:color w:val="2D2D2D"/>
          <w:sz w:val="28"/>
        </w:rPr>
        <w:t>Цель настоящей статьи — теоретически обосновать и описать методику использования технологии развития критического мышления на уроках чтения в начальной школе с учетом возрастных особенностей младших школьников.</w:t>
      </w:r>
    </w:p>
    <w:p>
      <w:pPr>
        <w:pStyle w:val="Heading2"/>
        <w:spacing w:before="480" w:after="200" w:line="276" w:lineRule="auto"/>
        <w:ind w:firstLine="0"/>
      </w:pPr>
      <w:r>
        <w:rPr>
          <w:rFonts w:ascii="Times New Roman" w:hAnsi="Times New Roman"/>
          <w:b/>
          <w:color w:val="C95A2B"/>
          <w:sz w:val="30"/>
        </w:rPr>
        <w:t>Теоретические основы технологии развития критического мышления</w:t>
      </w:r>
    </w:p>
    <w:p>
      <w:pPr>
        <w:pStyle w:val="Heading3"/>
        <w:spacing w:before="400" w:after="160" w:line="276" w:lineRule="auto"/>
        <w:ind w:firstLine="0"/>
      </w:pPr>
      <w:r>
        <w:rPr>
          <w:rFonts w:ascii="Times New Roman" w:hAnsi="Times New Roman"/>
          <w:b/>
          <w:i/>
          <w:color w:val="1A3A5C"/>
          <w:sz w:val="28"/>
        </w:rPr>
        <w:t>Понятие критического мышления в психолого-педагогической науке</w:t>
      </w:r>
    </w:p>
    <w:p>
      <w:pPr>
        <w:ind w:firstLine="709"/>
      </w:pPr>
      <w:r>
        <w:rPr>
          <w:rFonts w:ascii="Times New Roman" w:hAnsi="Times New Roman"/>
          <w:color w:val="2D2D2D"/>
          <w:sz w:val="28"/>
        </w:rPr>
        <w:t>Критическое мышление не является новым понятием для педагогики и психологии. Его истоки восходят к идеям рефлексивного мышления, описанным еще в трудах Джона Дьюи, а также к исследованиям Жана Пиаже и Льва Семеновича Выготского. В отечественной психолого-педагогической традиции фундаментальное значение имеют работы Л.С. Выготского о соотношении мышления и речи, о зоне ближайшего развития, а также труды С.Л. Рубинштейна, рассматривавшего мышление как процесс анализа, синтеза и обобщения. Как отмечал Л.С. Выготский в своих работах по психологии развития, мышление ребенка формируется прежде всего в процессе обучения, организованного особым образом, и важнейшую роль здесь играет слово, овладение значением как единицей речевого мышления.</w:t>
      </w:r>
    </w:p>
    <w:p>
      <w:pPr>
        <w:ind w:firstLine="709"/>
      </w:pPr>
      <w:r>
        <w:rPr>
          <w:rFonts w:ascii="Times New Roman" w:hAnsi="Times New Roman"/>
          <w:color w:val="2D2D2D"/>
          <w:sz w:val="28"/>
        </w:rPr>
        <w:t>Критическое мышление в современном понимании — это оценочное, рефлексивное мышление, направленное на проверку утверждений, идей, фактов, на выявление противоречий, на принятие обоснованных решений. Оно не является синонимом негативного или разрушительного мышления; наоборот, критически мыслящий человек способен видеть многогранность проблемы, учитывать разные точки зрения, аргументированно отстаивать собственную позицию, но при этом открыт для пересмотра своих взглядов при появлении новых убедительных данных. В зарубежной педагогике широко известны подходы Дайаны Халперн, Ричарда Пола, Дэвида Клустера, которые рассматривали критическое мышление как совокупность навыков анализа, оценки, интерпретации, объяснения и саморегуляции. В отечественной науке идеи развития критического мышления разрабатывались в контексте личностно ориентированного и деятельностного подходов, что нашло отражение в работах, посвященных формированию универсальных учебных действий.</w:t>
      </w:r>
    </w:p>
    <w:p>
      <w:pPr>
        <w:ind w:firstLine="709"/>
      </w:pPr>
      <w:r>
        <w:rPr>
          <w:rFonts w:ascii="Times New Roman" w:hAnsi="Times New Roman"/>
          <w:color w:val="2D2D2D"/>
          <w:sz w:val="28"/>
        </w:rPr>
        <w:t>Важно подчеркнуть, что критическое мышление не сводится к сумме отдельных приемов. Это интегративное качество личности, включающее когнитивный, мотивационный и поведенческий компоненты. Когнитивный компонент связан с владением мыслительными операциями: анализ, синтез, сравнение, обобщение, установление причинно-следственных связей, оценка достоверности информации. Мотивационный — с готовностью подвергать сомнению, искать альтернативы, проявлять любознательность. Поведенческий — с умением применять эти навыки в конкретных учебных и жизненных ситуациях.</w:t>
      </w:r>
    </w:p>
    <w:p>
      <w:pPr>
        <w:pStyle w:val="Heading3"/>
        <w:spacing w:before="400" w:after="160" w:line="276" w:lineRule="auto"/>
        <w:ind w:firstLine="0"/>
      </w:pPr>
      <w:r>
        <w:rPr>
          <w:rFonts w:ascii="Times New Roman" w:hAnsi="Times New Roman"/>
          <w:b/>
          <w:i/>
          <w:color w:val="1A3A5C"/>
          <w:sz w:val="28"/>
        </w:rPr>
        <w:t>Технология развития критического мышления: этапы и базовые приемы</w:t>
      </w:r>
    </w:p>
    <w:p>
      <w:pPr>
        <w:ind w:firstLine="709"/>
      </w:pPr>
      <w:r>
        <w:rPr>
          <w:rFonts w:ascii="Times New Roman" w:hAnsi="Times New Roman"/>
          <w:color w:val="2D2D2D"/>
          <w:sz w:val="28"/>
        </w:rPr>
        <w:t>Технология развития критического мышления представляет собой целостную систему, выстроенную в логике трехфазовой структуры урока: вызов, осмысление, рефлексия. Эта структура была предложена американскими педагогами Дж. Стил, К. Мередит и Ч. Темплом в рамках проекта «Чтение и письмо для критического мышления» и в дальнейшем адаптирована в российской образовательной практике. Несмотря на зарубежное происхождение, технология органично вписалась в отечественную традицию развивающего обучения, поскольку опирается на деятельностный подход, идеи Л.С. Выготского о сотрудничестве взрослого и ребенка, а также на теорию учебной деятельности Д.Б. Эльконина и В.В. Давыдова.</w:t>
      </w:r>
    </w:p>
    <w:p>
      <w:pPr>
        <w:ind w:firstLine="709"/>
      </w:pPr>
      <w:r>
        <w:rPr>
          <w:rFonts w:ascii="Times New Roman" w:hAnsi="Times New Roman"/>
          <w:color w:val="2D2D2D"/>
          <w:sz w:val="28"/>
        </w:rPr>
        <w:t>Первый этап — вызов. На этом этапе актуализируются имеющиеся у школьников знания по теме, пробуждается интерес, мотивация к чтению, формулируются вопросы, на которые ученики хотели бы получить ответ. Основная задача учителя — создать ситуацию, в которой каждый ребенок ощущает личностную значимость предстоящей работы. Ключевые приемы этапа: «мозговой штурм», «корзина идей», «верные и неверные утверждения», «кластер», «таблица ЗХУ» (знаю — хочу узнать — узнал), «дерево предсказаний».</w:t>
      </w:r>
    </w:p>
    <w:p>
      <w:pPr>
        <w:ind w:firstLine="709"/>
      </w:pPr>
      <w:r>
        <w:rPr>
          <w:rFonts w:ascii="Times New Roman" w:hAnsi="Times New Roman"/>
          <w:color w:val="2D2D2D"/>
          <w:sz w:val="28"/>
        </w:rPr>
        <w:t>Второй этап — осмысление. Это этап непосредственной работы с текстом, во время которого происходит соприкосновение с новой информацией, ее анализ, сопоставление с уже имеющимися представлениями, выявление противоречий. Ученик читает текст активно, с карандашом в руке, делает пометки, задает вопросы, выделяет непонятные места. Здесь используются приемы «инсерт» (чтение с пометками), «чтение с остановками», «двойной дневник», «бортовой журнал», «тонкие и толстые вопросы», составление различных видов плана, графических схем.</w:t>
      </w:r>
    </w:p>
    <w:p>
      <w:pPr>
        <w:ind w:firstLine="709"/>
      </w:pPr>
      <w:r>
        <w:rPr>
          <w:rFonts w:ascii="Times New Roman" w:hAnsi="Times New Roman"/>
          <w:color w:val="2D2D2D"/>
          <w:sz w:val="28"/>
        </w:rPr>
        <w:t>Третий этап — рефлексия. На этом этапе происходит обобщение полученной информации, ее присвоение, формирование собственного отношения к изучаемому материалу, выстраивание причинно-следственных связей, формулирование выводов. Важно, чтобы рефлексия не сводилась к простому пересказу содержания, а включала оценочные суждения, выявление собственных изменений, определение того, что осталось неясным и требует дальнейшего изучения. Приемы этапа: «синквейн», «эссе», «письмо по кругу», «шесть шляп мышления», «диаманта», возврат к «таблице ЗХУ», обсуждение в малых группах, создание коллективного продукта.</w:t>
      </w:r>
    </w:p>
    <w:p>
      <w:pPr>
        <w:ind w:firstLine="709"/>
      </w:pPr>
      <w:r>
        <w:rPr>
          <w:rFonts w:ascii="Times New Roman" w:hAnsi="Times New Roman"/>
          <w:color w:val="2D2D2D"/>
          <w:sz w:val="28"/>
        </w:rPr>
        <w:t>Технология не предписывает жесткого набора приемов для каждого урока. Учитель выбирает те из них, которые соответствуют целям, содержанию текста, возрастным и индивидуальным особенностям обучающихся. Главное условие — сохранение трехфазовой логики, обеспечивающей целостность познавательной деятельности.</w:t>
      </w:r>
    </w:p>
    <w:p>
      <w:pPr>
        <w:pStyle w:val="Heading2"/>
        <w:spacing w:before="480" w:after="200" w:line="276" w:lineRule="auto"/>
        <w:ind w:firstLine="0"/>
      </w:pPr>
      <w:r>
        <w:rPr>
          <w:rFonts w:ascii="Times New Roman" w:hAnsi="Times New Roman"/>
          <w:b/>
          <w:color w:val="C95A2B"/>
          <w:sz w:val="30"/>
        </w:rPr>
        <w:t>Методика использования технологии развития критического мышления на уроках чтения в начальной школе</w:t>
      </w:r>
    </w:p>
    <w:p>
      <w:pPr>
        <w:pStyle w:val="Heading3"/>
        <w:spacing w:before="400" w:after="160" w:line="276" w:lineRule="auto"/>
        <w:ind w:firstLine="0"/>
      </w:pPr>
      <w:r>
        <w:rPr>
          <w:rFonts w:ascii="Times New Roman" w:hAnsi="Times New Roman"/>
          <w:b/>
          <w:i/>
          <w:color w:val="1A3A5C"/>
          <w:sz w:val="28"/>
        </w:rPr>
        <w:t>Учет возрастных особенностей младших школьников</w:t>
      </w:r>
    </w:p>
    <w:p>
      <w:pPr>
        <w:ind w:firstLine="709"/>
      </w:pPr>
      <w:r>
        <w:rPr>
          <w:rFonts w:ascii="Times New Roman" w:hAnsi="Times New Roman"/>
          <w:color w:val="2D2D2D"/>
          <w:sz w:val="28"/>
        </w:rPr>
        <w:t>Младший школьный возраст — период интенсивного формирования словесно-логического мышления на основе наглядно-образного, которое остается доминирующим в первые годы обучения. Это означает, что работа с текстом на уроке чтения должна опираться на наглядные образы, моделирование, игровые элементы, эмоциональное переживание содержания. Л.С. Выготский неоднократно подчеркивал, что мышление ребенка неотделимо от его аффективной сферы, поэтому развитие критичности должно идти не через абстрактные рассуждения, а через непосредственное переживание и осмысление ситуаций, близких опыту ученика. Д.Б. Эльконин в своих работах по психологии игры и учебной деятельности отмечал, что учебная задача становится для младшего школьника по-настоящему действенной, если она эмоционально окрашена и связана с его жизненными впечатлениями.</w:t>
      </w:r>
    </w:p>
    <w:p>
      <w:pPr>
        <w:ind w:firstLine="709"/>
      </w:pPr>
      <w:r>
        <w:rPr>
          <w:rFonts w:ascii="Times New Roman" w:hAnsi="Times New Roman"/>
          <w:color w:val="2D2D2D"/>
          <w:sz w:val="28"/>
        </w:rPr>
        <w:t>При организации работы по технологии развития критического мышления на уроках чтения в начальных классах необходимо учитывать следующие особенности:</w:t>
      </w:r>
    </w:p>
    <w:p>
      <w:pPr>
        <w:pStyle w:val="ListBullet"/>
        <w:ind w:firstLine="0"/>
      </w:pPr>
      <w:r>
        <w:rPr>
          <w:rFonts w:ascii="Times New Roman" w:hAnsi="Times New Roman"/>
          <w:color w:val="2D2D2D"/>
          <w:sz w:val="28"/>
        </w:rPr>
        <w:t>Уровень развития произвольного внимания и памяти еще недостаточно высок, поэтому задания должны быть дробными, с четкой пошаговой инструкцией и частой сменой видов деятельности.</w:t>
      </w:r>
    </w:p>
    <w:p>
      <w:pPr>
        <w:pStyle w:val="ListBullet"/>
        <w:ind w:firstLine="0"/>
      </w:pPr>
      <w:r>
        <w:rPr>
          <w:rFonts w:ascii="Times New Roman" w:hAnsi="Times New Roman"/>
          <w:color w:val="2D2D2D"/>
          <w:sz w:val="28"/>
        </w:rPr>
        <w:t>Словарный запас младших школьников ограничен, многие слова в художественном тексте могут быть незнакомы, что требует предварительной словарной работы и опоры на контекст.</w:t>
      </w:r>
    </w:p>
    <w:p>
      <w:pPr>
        <w:pStyle w:val="ListBullet"/>
        <w:ind w:firstLine="0"/>
      </w:pPr>
      <w:r>
        <w:rPr>
          <w:rFonts w:ascii="Times New Roman" w:hAnsi="Times New Roman"/>
          <w:color w:val="2D2D2D"/>
          <w:sz w:val="28"/>
        </w:rPr>
        <w:t>Восприятие художественного произведения отличается наивным реализмом: дети склонны воспринимать события как реальные, отождествлять себя с героями, что важно использовать для развития эмпатии и нравственного оценивания.</w:t>
      </w:r>
    </w:p>
    <w:p>
      <w:pPr>
        <w:pStyle w:val="ListBullet"/>
        <w:ind w:firstLine="0"/>
      </w:pPr>
      <w:r>
        <w:rPr>
          <w:rFonts w:ascii="Times New Roman" w:hAnsi="Times New Roman"/>
          <w:color w:val="2D2D2D"/>
          <w:sz w:val="28"/>
        </w:rPr>
        <w:t>Потребность в общении со сверстниками выражена ярко, поэтому эффективны парные и групповые формы работы, позволяющие обмениваться мнениями, слушать друг друга, аргументировать свою позицию.</w:t>
      </w:r>
    </w:p>
    <w:p>
      <w:pPr>
        <w:pStyle w:val="ListBullet"/>
        <w:ind w:firstLine="0"/>
      </w:pPr>
      <w:r>
        <w:rPr>
          <w:rFonts w:ascii="Times New Roman" w:hAnsi="Times New Roman"/>
          <w:color w:val="2D2D2D"/>
          <w:sz w:val="28"/>
        </w:rPr>
        <w:t>Игровая мотивация сохраняет свою значимость, следовательно, приемы ТРКМ можно облекать в игровую форму: соревнования, ролевые ситуации, «путешествия», «следственные эксперименты».</w:t>
      </w:r>
    </w:p>
    <w:p>
      <w:pPr>
        <w:ind w:firstLine="709"/>
      </w:pPr>
      <w:r>
        <w:rPr>
          <w:rFonts w:ascii="Times New Roman" w:hAnsi="Times New Roman"/>
          <w:color w:val="2D2D2D"/>
          <w:sz w:val="28"/>
        </w:rPr>
        <w:t>Технология развития критического мышления предоставляет широкие возможности для учета этих особенностей, поскольку содержит множество приемов, основанных на наглядности, диалоге, ролевом взаимодействии.</w:t>
      </w:r>
    </w:p>
    <w:p>
      <w:pPr>
        <w:pStyle w:val="Heading3"/>
        <w:spacing w:before="400" w:after="160" w:line="276" w:lineRule="auto"/>
        <w:ind w:firstLine="0"/>
      </w:pPr>
      <w:r>
        <w:rPr>
          <w:rFonts w:ascii="Times New Roman" w:hAnsi="Times New Roman"/>
          <w:b/>
          <w:i/>
          <w:color w:val="1A3A5C"/>
          <w:sz w:val="28"/>
        </w:rPr>
        <w:t>Применение приемов ТРКМ на разных этапах урока чтения</w:t>
      </w:r>
    </w:p>
    <w:p>
      <w:pPr>
        <w:ind w:firstLine="709"/>
      </w:pPr>
      <w:r>
        <w:rPr>
          <w:rFonts w:ascii="Times New Roman" w:hAnsi="Times New Roman"/>
          <w:color w:val="2D2D2D"/>
          <w:sz w:val="28"/>
        </w:rPr>
        <w:t>Рассмотрим конкретную логику построения урока литературного чтения по технологии развития критического мышления на примере рассказа Виктора Драгунского «Тайное становится явным» (текст широко представлен в учебниках для начальной школы). Урок может быть организован следующим образом.</w:t>
      </w:r>
    </w:p>
    <w:p>
      <w:pPr>
        <w:ind w:firstLine="709"/>
      </w:pPr>
      <w:r>
        <w:rPr>
          <w:rFonts w:ascii="Times New Roman" w:hAnsi="Times New Roman"/>
          <w:color w:val="2D2D2D"/>
          <w:sz w:val="28"/>
        </w:rPr>
        <w:t>ЭТАП ВЫЗОВА. Учитель предлагает учащимся подумать над названием рассказа, которое записано на доске. Проводится прием «верные и неверные утверждения». Учитель зачитывает несколько утверждений, а ученики в тетрадях или на карточках отмечают, верны ли они, например:</w:t>
      </w:r>
    </w:p>
    <w:p>
      <w:pPr>
        <w:pStyle w:val="ListBullet"/>
        <w:ind w:firstLine="0"/>
      </w:pPr>
      <w:r>
        <w:rPr>
          <w:rFonts w:ascii="Times New Roman" w:hAnsi="Times New Roman"/>
          <w:color w:val="2D2D2D"/>
          <w:sz w:val="28"/>
        </w:rPr>
        <w:t>Тайное всегда становится явным.</w:t>
      </w:r>
    </w:p>
    <w:p>
      <w:pPr>
        <w:pStyle w:val="ListBullet"/>
        <w:ind w:firstLine="0"/>
      </w:pPr>
      <w:r>
        <w:rPr>
          <w:rFonts w:ascii="Times New Roman" w:hAnsi="Times New Roman"/>
          <w:color w:val="2D2D2D"/>
          <w:sz w:val="28"/>
        </w:rPr>
        <w:t>Если что-то скрываешь, об этом никто не узнает.</w:t>
      </w:r>
    </w:p>
    <w:p>
      <w:pPr>
        <w:pStyle w:val="ListBullet"/>
        <w:ind w:firstLine="0"/>
      </w:pPr>
      <w:r>
        <w:rPr>
          <w:rFonts w:ascii="Times New Roman" w:hAnsi="Times New Roman"/>
          <w:color w:val="2D2D2D"/>
          <w:sz w:val="28"/>
        </w:rPr>
        <w:t>Взрослые всегда узнают о проступках детей.</w:t>
      </w:r>
    </w:p>
    <w:p>
      <w:pPr>
        <w:pStyle w:val="ListBullet"/>
        <w:ind w:firstLine="0"/>
      </w:pPr>
      <w:r>
        <w:rPr>
          <w:rFonts w:ascii="Times New Roman" w:hAnsi="Times New Roman"/>
          <w:color w:val="2D2D2D"/>
          <w:sz w:val="28"/>
        </w:rPr>
        <w:t>Лучше признаться сразу, чем скрывать.</w:t>
      </w:r>
    </w:p>
    <w:p>
      <w:pPr>
        <w:ind w:firstLine="709"/>
      </w:pPr>
      <w:r>
        <w:rPr>
          <w:rFonts w:ascii="Times New Roman" w:hAnsi="Times New Roman"/>
          <w:color w:val="2D2D2D"/>
          <w:sz w:val="28"/>
        </w:rPr>
        <w:t>Дети высказывают предположения, обосновывают свою позицию. Затем заполняется первая часть таблицы ЗХУ: в графу «Знаю» ученики записывают, что им известно о ситуациях, когда тайное раскрывалось, в графу «Хочу узнать» — что им интересно узнать из рассказа, какие вопросы они поставили бы герою. Можно использовать прием «дерево предсказаний»: на доске рисуется дерево, на ветвях которого учащиеся размещают свои прогнозы о том, о чем пойдет речь в тексте, какие события могут произойти, чем закончится история. Все эти приемы позволяют активизировать личный опыт ребенка, настроить на осмысленное чтение.</w:t>
      </w:r>
    </w:p>
    <w:p>
      <w:pPr>
        <w:ind w:firstLine="709"/>
      </w:pPr>
      <w:r>
        <w:rPr>
          <w:rFonts w:ascii="Times New Roman" w:hAnsi="Times New Roman"/>
          <w:color w:val="2D2D2D"/>
          <w:sz w:val="28"/>
        </w:rPr>
        <w:t>ЭТАП ОСМЫСЛЕНИЯ. Учитель организует чтение рассказа с остановками. Текст заранее делится на несколько смысловых фрагментов. После чтения каждого фрагмента учитель задает вопросы, направленные на прогнозирование, выявление мотивов поступков, оценку действий персонажа. После чтения первого отрывка (до момента, когда Дениска выливает кашу в окно) можно задать вопросы: «Как вы думаете, почему Дениска не хотел есть кашу? Правильно ли он поступил, выбросив ее в окно? Что могло бы произойти дальше?» Такие вопросы стимулируют анализ и антиципацию. По ходу чтения ученики могут делать пометки на полях карандашом, используя прием «инсерт»: «+» — знаю, «!» — новое, «?» — непонятно, «—» — не согласен. В начальной школе можно упростить систему пометок до двух-трех символов.</w:t>
      </w:r>
    </w:p>
    <w:p>
      <w:pPr>
        <w:ind w:firstLine="709"/>
      </w:pPr>
      <w:r>
        <w:rPr>
          <w:rFonts w:ascii="Times New Roman" w:hAnsi="Times New Roman"/>
          <w:color w:val="2D2D2D"/>
          <w:sz w:val="28"/>
        </w:rPr>
        <w:t>Важным элементом этапа осмысления является работа со словами и выражениями, которые могут быть незнакомы детям. Например, в рассказе встречается слово «деликатный». Учитель может предложить объяснить его значение из контекста, подобрать синонимы, обсудить, как деликатность проявляется в поведении людей. Это способствует не только пониманию текста, но и обогащению словаря, развитию языковой интуиции.</w:t>
      </w:r>
    </w:p>
    <w:p>
      <w:pPr>
        <w:ind w:firstLine="709"/>
      </w:pPr>
      <w:r>
        <w:rPr>
          <w:rFonts w:ascii="Times New Roman" w:hAnsi="Times New Roman"/>
          <w:color w:val="2D2D2D"/>
          <w:sz w:val="28"/>
        </w:rPr>
        <w:t>После прочтения всего рассказа организуется обсуждение с использованием приема «тонкие и толстые вопросы». Тонкие вопросы требуют простого воспроизведения фактов (Кто главный герой? Что он сделал? Куда пошел милиционер?), толстые — развернутого ответа, анализа, оценки (Почему Дениска сначала не понимал, что тайное станет явным? Как изменилось его отношение к поступку? Можно ли назвать мальчика честным? Что вы почувствовали, когда милиционер привел пострадавшего?). Учащиеся сами учатся формулировать вопросы разного уровня, обмениваются ими в парах или группах.</w:t>
      </w:r>
    </w:p>
    <w:p>
      <w:pPr>
        <w:ind w:firstLine="709"/>
      </w:pPr>
      <w:r>
        <w:rPr>
          <w:rFonts w:ascii="Times New Roman" w:hAnsi="Times New Roman"/>
          <w:color w:val="2D2D2D"/>
          <w:sz w:val="28"/>
        </w:rPr>
        <w:t>ЭТАП РЕФЛЕКСИИ. На этом этапе ученики возвращаются к таблице ЗХУ и заполняют третью графу «Узнал», сопоставляют свои первоначальные предположения с реальным содержанием, отвечают на вопросы, которые были поставлены на этапе вызова. Далее можно предложить написание синквейна на тему «Тайна» или «Честность». Например:</w:t>
      </w:r>
    </w:p>
    <w:p>
      <w:pPr>
        <w:ind w:firstLine="709"/>
      </w:pPr>
      <w:r>
        <w:rPr>
          <w:rFonts w:ascii="Times New Roman" w:hAnsi="Times New Roman"/>
          <w:color w:val="2D2D2D"/>
          <w:sz w:val="28"/>
        </w:rPr>
        <w:t>Тайна.</w:t>
      </w:r>
    </w:p>
    <w:p>
      <w:pPr>
        <w:ind w:firstLine="709"/>
      </w:pPr>
      <w:r>
        <w:rPr>
          <w:rFonts w:ascii="Times New Roman" w:hAnsi="Times New Roman"/>
          <w:color w:val="2D2D2D"/>
          <w:sz w:val="28"/>
        </w:rPr>
        <w:t>Скрытая, волнующая.</w:t>
      </w:r>
    </w:p>
    <w:p>
      <w:pPr>
        <w:ind w:firstLine="709"/>
      </w:pPr>
      <w:r>
        <w:rPr>
          <w:rFonts w:ascii="Times New Roman" w:hAnsi="Times New Roman"/>
          <w:color w:val="2D2D2D"/>
          <w:sz w:val="28"/>
        </w:rPr>
        <w:t>Скрывается, раскрывается, тревожит.</w:t>
      </w:r>
    </w:p>
    <w:p>
      <w:pPr>
        <w:ind w:firstLine="709"/>
      </w:pPr>
      <w:r>
        <w:rPr>
          <w:rFonts w:ascii="Times New Roman" w:hAnsi="Times New Roman"/>
          <w:color w:val="2D2D2D"/>
          <w:sz w:val="28"/>
        </w:rPr>
        <w:t>Тайное всегда становится явным.</w:t>
      </w:r>
    </w:p>
    <w:p>
      <w:pPr>
        <w:ind w:firstLine="709"/>
      </w:pPr>
      <w:r>
        <w:rPr>
          <w:rFonts w:ascii="Times New Roman" w:hAnsi="Times New Roman"/>
          <w:color w:val="2D2D2D"/>
          <w:sz w:val="28"/>
        </w:rPr>
        <w:t>Правда.</w:t>
      </w:r>
    </w:p>
    <w:p>
      <w:pPr>
        <w:ind w:firstLine="709"/>
      </w:pPr>
      <w:r>
        <w:rPr>
          <w:rFonts w:ascii="Times New Roman" w:hAnsi="Times New Roman"/>
          <w:color w:val="2D2D2D"/>
          <w:sz w:val="28"/>
        </w:rPr>
        <w:t>Или создать коллективный кластер на доске, где в центре слово «Дениска», а вокруг — характеристики героя, подтвержденные текстом. Это позволяет обобщить образ, обсудить, какие черты характера проявились в ситуации, осуждает ли автор героя или сочувствует ему. Можно предложить написать небольшое эссе или письмо Дениске: что бы вы ему посоветовали, как можно было поступить иначе. Такое задание развивает способность к нравственному оцениванию и рефлексии.</w:t>
      </w:r>
    </w:p>
    <w:p>
      <w:pPr>
        <w:pStyle w:val="Heading3"/>
        <w:spacing w:before="400" w:after="160" w:line="276" w:lineRule="auto"/>
        <w:ind w:firstLine="0"/>
      </w:pPr>
      <w:r>
        <w:rPr>
          <w:rFonts w:ascii="Times New Roman" w:hAnsi="Times New Roman"/>
          <w:b/>
          <w:i/>
          <w:color w:val="1A3A5C"/>
          <w:sz w:val="28"/>
        </w:rPr>
        <w:t>Примеры организации работы с художественным текстом</w:t>
      </w:r>
    </w:p>
    <w:p>
      <w:pPr>
        <w:ind w:firstLine="709"/>
      </w:pPr>
      <w:r>
        <w:rPr>
          <w:rFonts w:ascii="Times New Roman" w:hAnsi="Times New Roman"/>
          <w:color w:val="2D2D2D"/>
          <w:sz w:val="28"/>
        </w:rPr>
        <w:t>Технология развития критического мышления универсальна и может применяться при изучении произведений разных жанров. При работе со сказкой, например, русской народной сказкой «Морозко», на этапе вызова можно использовать прием «корзина идей»: учитель предлагает детям высказать все, что они знают о сказках, о Морозко, о героях, которые встречаются в подобных историях. Все идеи записываются в общую «корзину», а затем в процессе чтения проверяются. На этапе осмысления эффективен прием «чтение с остановками», особенно если сказка читается по частям: после каждого эпизода обсуждается поступок героини, ее отношение к окружающим, прогнозируется дальнейшее развитие событий. На этапе рефлексии можно предложить сравнить двух сестер, составить сравнительную таблицу:</w:t>
      </w:r>
    </w:p>
    <w:tbl>
      <w:tblPr>
        <w:tblW w:type="auto" w:w="0"/>
        <w:jc w:val="center"/>
        <w:tblLayout w:type="autofit"/>
        <w:tblLook w:firstColumn="1" w:firstRow="1" w:lastColumn="0" w:lastRow="0" w:noHBand="0" w:noVBand="1" w:val="04A0"/>
      </w:tblPr>
      <w:tblGrid>
        <w:gridCol w:w="3230"/>
        <w:gridCol w:w="3230"/>
        <w:gridCol w:w="3230"/>
      </w:tblGrid>
      <w:tr>
        <w:tc>
          <w:tcPr>
            <w:tcW w:type="dxa" w:w="3230"/>
            <w:shd w:fill="1a3a5c" w:val="clear"/>
            <w:tcBorders>
              <w:top w:val="single" w:sz="4" w:space="0" w:color="1a3a5c"/>
              <w:left w:val="single" w:sz="4" w:space="0" w:color="1a3a5c"/>
              <w:bottom w:val="single" w:sz="4" w:space="0" w:color="1a3a5c"/>
              <w:right w:val="single" w:sz="4" w:space="0" w:color="1a3a5c"/>
            </w:tcBorders>
          </w:tcPr>
          <w:p>
            <w:pPr>
              <w:spacing w:before="40" w:after="40"/>
              <w:jc w:val="center"/>
            </w:pPr>
            <w:r/>
            <w:r>
              <w:rPr>
                <w:rFonts w:ascii="Times New Roman" w:hAnsi="Times New Roman"/>
                <w:b/>
                <w:color w:val="FFFFFF"/>
                <w:sz w:val="22"/>
              </w:rPr>
              <w:t>Критерий</w:t>
            </w:r>
          </w:p>
        </w:tc>
        <w:tc>
          <w:tcPr>
            <w:tcW w:type="dxa" w:w="3230"/>
            <w:shd w:fill="1a3a5c" w:val="clear"/>
            <w:tcBorders>
              <w:top w:val="single" w:sz="4" w:space="0" w:color="1a3a5c"/>
              <w:left w:val="single" w:sz="4" w:space="0" w:color="1a3a5c"/>
              <w:bottom w:val="single" w:sz="4" w:space="0" w:color="1a3a5c"/>
              <w:right w:val="single" w:sz="4" w:space="0" w:color="1a3a5c"/>
            </w:tcBorders>
          </w:tcPr>
          <w:p>
            <w:pPr>
              <w:spacing w:before="40" w:after="40"/>
              <w:jc w:val="center"/>
            </w:pPr>
            <w:r/>
            <w:r>
              <w:rPr>
                <w:rFonts w:ascii="Times New Roman" w:hAnsi="Times New Roman"/>
                <w:b/>
                <w:color w:val="FFFFFF"/>
                <w:sz w:val="22"/>
              </w:rPr>
              <w:t>Настенька</w:t>
            </w:r>
          </w:p>
        </w:tc>
        <w:tc>
          <w:tcPr>
            <w:tcW w:type="dxa" w:w="3230"/>
            <w:shd w:fill="1a3a5c" w:val="clear"/>
            <w:tcBorders>
              <w:top w:val="single" w:sz="4" w:space="0" w:color="1a3a5c"/>
              <w:left w:val="single" w:sz="4" w:space="0" w:color="1a3a5c"/>
              <w:bottom w:val="single" w:sz="4" w:space="0" w:color="1a3a5c"/>
              <w:right w:val="single" w:sz="4" w:space="0" w:color="1a3a5c"/>
            </w:tcBorders>
          </w:tcPr>
          <w:p>
            <w:pPr>
              <w:spacing w:before="40" w:after="40"/>
              <w:jc w:val="center"/>
            </w:pPr>
            <w:r/>
            <w:r>
              <w:rPr>
                <w:rFonts w:ascii="Times New Roman" w:hAnsi="Times New Roman"/>
                <w:b/>
                <w:color w:val="FFFFFF"/>
                <w:sz w:val="22"/>
              </w:rPr>
              <w:t>Дочь старухи</w:t>
            </w:r>
          </w:p>
        </w:tc>
      </w:tr>
      <w:tr>
        <w:tc>
          <w:tcPr>
            <w:tcW w:type="dxa" w:w="3230"/>
            <w:tcBorders>
              <w:top w:val="single" w:sz="4" w:space="0" w:color="1a3a5c"/>
              <w:left w:val="single" w:sz="4" w:space="0" w:color="1a3a5c"/>
              <w:bottom w:val="single" w:sz="4" w:space="0" w:color="1a3a5c"/>
              <w:right w:val="single" w:sz="4" w:space="0" w:color="1a3a5c"/>
            </w:tcBorders>
          </w:tcPr>
          <w:p>
            <w:pPr>
              <w:spacing w:before="40" w:after="40"/>
            </w:pPr>
            <w:r/>
            <w:r>
              <w:rPr>
                <w:rFonts w:ascii="Times New Roman" w:hAnsi="Times New Roman"/>
                <w:b w:val="0"/>
                <w:color w:val="2D2D2D"/>
                <w:sz w:val="22"/>
              </w:rPr>
              <w:t>Отношение к труду</w:t>
            </w:r>
          </w:p>
        </w:tc>
        <w:tc>
          <w:tcPr>
            <w:tcW w:type="dxa" w:w="3230"/>
            <w:tcBorders>
              <w:top w:val="single" w:sz="4" w:space="0" w:color="1a3a5c"/>
              <w:left w:val="single" w:sz="4" w:space="0" w:color="1a3a5c"/>
              <w:bottom w:val="single" w:sz="4" w:space="0" w:color="1a3a5c"/>
              <w:right w:val="single" w:sz="4" w:space="0" w:color="1a3a5c"/>
            </w:tcBorders>
          </w:tcPr>
          <w:p>
            <w:pPr>
              <w:spacing w:before="40" w:after="40"/>
              <w:jc w:val="right"/>
            </w:pPr>
            <w:r/>
            <w:r>
              <w:rPr>
                <w:rFonts w:ascii="Times New Roman" w:hAnsi="Times New Roman"/>
                <w:b w:val="0"/>
                <w:color w:val="2D2D2D"/>
                <w:sz w:val="22"/>
              </w:rPr>
              <w:t>Трудолюбивая, выполняет любую работу</w:t>
            </w:r>
          </w:p>
        </w:tc>
        <w:tc>
          <w:tcPr>
            <w:tcW w:type="dxa" w:w="3230"/>
            <w:tcBorders>
              <w:top w:val="single" w:sz="4" w:space="0" w:color="1a3a5c"/>
              <w:left w:val="single" w:sz="4" w:space="0" w:color="1a3a5c"/>
              <w:bottom w:val="single" w:sz="4" w:space="0" w:color="1a3a5c"/>
              <w:right w:val="single" w:sz="4" w:space="0" w:color="1a3a5c"/>
            </w:tcBorders>
          </w:tcPr>
          <w:p>
            <w:pPr>
              <w:spacing w:before="40" w:after="40"/>
              <w:jc w:val="right"/>
            </w:pPr>
            <w:r/>
            <w:r>
              <w:rPr>
                <w:rFonts w:ascii="Times New Roman" w:hAnsi="Times New Roman"/>
                <w:b w:val="0"/>
                <w:color w:val="2D2D2D"/>
                <w:sz w:val="22"/>
              </w:rPr>
              <w:t>Ленивая, избегает работы</w:t>
            </w:r>
          </w:p>
        </w:tc>
      </w:tr>
      <w:tr>
        <w:tc>
          <w:tcPr>
            <w:tcW w:type="dxa" w:w="3230"/>
            <w:tcBorders>
              <w:top w:val="single" w:sz="4" w:space="0" w:color="1a3a5c"/>
              <w:left w:val="single" w:sz="4" w:space="0" w:color="1a3a5c"/>
              <w:bottom w:val="single" w:sz="4" w:space="0" w:color="1a3a5c"/>
              <w:right w:val="single" w:sz="4" w:space="0" w:color="1a3a5c"/>
            </w:tcBorders>
            <w:shd w:fill="f0f4f8" w:val="clear"/>
          </w:tcPr>
          <w:p>
            <w:pPr>
              <w:spacing w:before="40" w:after="40"/>
            </w:pPr>
            <w:r/>
            <w:r>
              <w:rPr>
                <w:rFonts w:ascii="Times New Roman" w:hAnsi="Times New Roman"/>
                <w:b w:val="0"/>
                <w:color w:val="2D2D2D"/>
                <w:sz w:val="22"/>
              </w:rPr>
              <w:t>Отношение к другим</w:t>
            </w:r>
          </w:p>
        </w:tc>
        <w:tc>
          <w:tcPr>
            <w:tcW w:type="dxa" w:w="3230"/>
            <w:tcBorders>
              <w:top w:val="single" w:sz="4" w:space="0" w:color="1a3a5c"/>
              <w:left w:val="single" w:sz="4" w:space="0" w:color="1a3a5c"/>
              <w:bottom w:val="single" w:sz="4" w:space="0" w:color="1a3a5c"/>
              <w:right w:val="single" w:sz="4" w:space="0" w:color="1a3a5c"/>
            </w:tcBorders>
            <w:shd w:fill="f0f4f8" w:val="clear"/>
          </w:tcPr>
          <w:p>
            <w:pPr>
              <w:spacing w:before="40" w:after="40"/>
              <w:jc w:val="right"/>
            </w:pPr>
            <w:r/>
            <w:r>
              <w:rPr>
                <w:rFonts w:ascii="Times New Roman" w:hAnsi="Times New Roman"/>
                <w:b w:val="0"/>
                <w:color w:val="2D2D2D"/>
                <w:sz w:val="22"/>
              </w:rPr>
              <w:t>Добрая, вежливая, благодарная</w:t>
            </w:r>
          </w:p>
        </w:tc>
        <w:tc>
          <w:tcPr>
            <w:tcW w:type="dxa" w:w="3230"/>
            <w:tcBorders>
              <w:top w:val="single" w:sz="4" w:space="0" w:color="1a3a5c"/>
              <w:left w:val="single" w:sz="4" w:space="0" w:color="1a3a5c"/>
              <w:bottom w:val="single" w:sz="4" w:space="0" w:color="1a3a5c"/>
              <w:right w:val="single" w:sz="4" w:space="0" w:color="1a3a5c"/>
            </w:tcBorders>
            <w:shd w:fill="f0f4f8" w:val="clear"/>
          </w:tcPr>
          <w:p>
            <w:pPr>
              <w:spacing w:before="40" w:after="40"/>
              <w:jc w:val="right"/>
            </w:pPr>
            <w:r/>
            <w:r>
              <w:rPr>
                <w:rFonts w:ascii="Times New Roman" w:hAnsi="Times New Roman"/>
                <w:b w:val="0"/>
                <w:color w:val="2D2D2D"/>
                <w:sz w:val="22"/>
              </w:rPr>
              <w:t>Грубая, завистливая</w:t>
            </w:r>
          </w:p>
        </w:tc>
      </w:tr>
      <w:tr>
        <w:tc>
          <w:tcPr>
            <w:tcW w:type="dxa" w:w="3230"/>
            <w:tcBorders>
              <w:top w:val="single" w:sz="4" w:space="0" w:color="1a3a5c"/>
              <w:left w:val="single" w:sz="4" w:space="0" w:color="1a3a5c"/>
              <w:bottom w:val="single" w:sz="4" w:space="0" w:color="1a3a5c"/>
              <w:right w:val="single" w:sz="4" w:space="0" w:color="1a3a5c"/>
            </w:tcBorders>
          </w:tcPr>
          <w:p>
            <w:pPr>
              <w:spacing w:before="40" w:after="40"/>
            </w:pPr>
            <w:r/>
            <w:r>
              <w:rPr>
                <w:rFonts w:ascii="Times New Roman" w:hAnsi="Times New Roman"/>
                <w:b w:val="0"/>
                <w:color w:val="2D2D2D"/>
                <w:sz w:val="22"/>
              </w:rPr>
              <w:t>Награда в сказке</w:t>
            </w:r>
          </w:p>
        </w:tc>
        <w:tc>
          <w:tcPr>
            <w:tcW w:type="dxa" w:w="3230"/>
            <w:tcBorders>
              <w:top w:val="single" w:sz="4" w:space="0" w:color="1a3a5c"/>
              <w:left w:val="single" w:sz="4" w:space="0" w:color="1a3a5c"/>
              <w:bottom w:val="single" w:sz="4" w:space="0" w:color="1a3a5c"/>
              <w:right w:val="single" w:sz="4" w:space="0" w:color="1a3a5c"/>
            </w:tcBorders>
          </w:tcPr>
          <w:p>
            <w:pPr>
              <w:spacing w:before="40" w:after="40"/>
              <w:jc w:val="right"/>
            </w:pPr>
            <w:r/>
            <w:r>
              <w:rPr>
                <w:rFonts w:ascii="Times New Roman" w:hAnsi="Times New Roman"/>
                <w:b w:val="0"/>
                <w:color w:val="2D2D2D"/>
                <w:sz w:val="22"/>
              </w:rPr>
              <w:t>Богатство, жених, счастье</w:t>
            </w:r>
          </w:p>
        </w:tc>
        <w:tc>
          <w:tcPr>
            <w:tcW w:type="dxa" w:w="3230"/>
            <w:tcBorders>
              <w:top w:val="single" w:sz="4" w:space="0" w:color="1a3a5c"/>
              <w:left w:val="single" w:sz="4" w:space="0" w:color="1a3a5c"/>
              <w:bottom w:val="single" w:sz="4" w:space="0" w:color="1a3a5c"/>
              <w:right w:val="single" w:sz="4" w:space="0" w:color="1a3a5c"/>
            </w:tcBorders>
          </w:tcPr>
          <w:p>
            <w:pPr>
              <w:spacing w:before="40" w:after="40"/>
              <w:jc w:val="right"/>
            </w:pPr>
            <w:r/>
            <w:r>
              <w:rPr>
                <w:rFonts w:ascii="Times New Roman" w:hAnsi="Times New Roman"/>
                <w:b w:val="0"/>
                <w:color w:val="2D2D2D"/>
                <w:sz w:val="22"/>
              </w:rPr>
              <w:t>Гибнет или наказана</w:t>
            </w:r>
          </w:p>
        </w:tc>
      </w:tr>
      <w:tr>
        <w:tc>
          <w:tcPr>
            <w:tcW w:type="dxa" w:w="3230"/>
            <w:tcBorders>
              <w:top w:val="single" w:sz="4" w:space="0" w:color="1a3a5c"/>
              <w:left w:val="single" w:sz="4" w:space="0" w:color="1a3a5c"/>
              <w:bottom w:val="single" w:sz="4" w:space="0" w:color="1a3a5c"/>
              <w:right w:val="single" w:sz="4" w:space="0" w:color="1a3a5c"/>
            </w:tcBorders>
            <w:shd w:fill="f0f4f8" w:val="clear"/>
          </w:tcPr>
          <w:p>
            <w:pPr>
              <w:spacing w:before="40" w:after="40"/>
            </w:pPr>
            <w:r/>
            <w:r>
              <w:rPr>
                <w:rFonts w:ascii="Times New Roman" w:hAnsi="Times New Roman"/>
                <w:b w:val="0"/>
                <w:color w:val="2D2D2D"/>
                <w:sz w:val="22"/>
              </w:rPr>
              <w:t>Вывод</w:t>
            </w:r>
          </w:p>
        </w:tc>
        <w:tc>
          <w:tcPr>
            <w:tcW w:type="dxa" w:w="3230"/>
            <w:tcBorders>
              <w:top w:val="single" w:sz="4" w:space="0" w:color="1a3a5c"/>
              <w:left w:val="single" w:sz="4" w:space="0" w:color="1a3a5c"/>
              <w:bottom w:val="single" w:sz="4" w:space="0" w:color="1a3a5c"/>
              <w:right w:val="single" w:sz="4" w:space="0" w:color="1a3a5c"/>
            </w:tcBorders>
            <w:shd w:fill="f0f4f8" w:val="clear"/>
          </w:tcPr>
          <w:p>
            <w:pPr>
              <w:spacing w:before="40" w:after="40"/>
              <w:jc w:val="right"/>
            </w:pPr>
            <w:r/>
            <w:r>
              <w:rPr>
                <w:rFonts w:ascii="Times New Roman" w:hAnsi="Times New Roman"/>
                <w:b w:val="0"/>
                <w:color w:val="2D2D2D"/>
                <w:sz w:val="22"/>
              </w:rPr>
              <w:t>Доброта и терпение вознаграждаются</w:t>
            </w:r>
          </w:p>
        </w:tc>
        <w:tc>
          <w:tcPr>
            <w:tcW w:type="dxa" w:w="3230"/>
            <w:tcBorders>
              <w:top w:val="single" w:sz="4" w:space="0" w:color="1a3a5c"/>
              <w:left w:val="single" w:sz="4" w:space="0" w:color="1a3a5c"/>
              <w:bottom w:val="single" w:sz="4" w:space="0" w:color="1a3a5c"/>
              <w:right w:val="single" w:sz="4" w:space="0" w:color="1a3a5c"/>
            </w:tcBorders>
            <w:shd w:fill="f0f4f8" w:val="clear"/>
          </w:tcPr>
          <w:p>
            <w:pPr>
              <w:spacing w:before="40" w:after="40"/>
              <w:jc w:val="right"/>
            </w:pPr>
            <w:r/>
            <w:r>
              <w:rPr>
                <w:rFonts w:ascii="Times New Roman" w:hAnsi="Times New Roman"/>
                <w:b w:val="0"/>
                <w:color w:val="2D2D2D"/>
                <w:sz w:val="22"/>
              </w:rPr>
              <w:t>Зависть и злоба приводят к беде</w:t>
            </w:r>
          </w:p>
        </w:tc>
      </w:tr>
    </w:tbl>
    <w:p>
      <w:pPr>
        <w:spacing w:before="80" w:after="80" w:line="240" w:lineRule="auto"/>
        <w:ind w:firstLine="0"/>
      </w:pPr>
      <w:r>
        <w:rPr>
          <w:sz w:val="8"/>
        </w:rPr>
      </w:r>
    </w:p>
    <w:p>
      <w:pPr>
        <w:spacing w:after="120" w:line="240" w:lineRule="auto"/>
        <w:ind w:firstLine="0"/>
        <w:jc w:val="center"/>
      </w:pPr>
      <w:r>
        <w:rPr>
          <w:rFonts w:ascii="Times New Roman" w:hAnsi="Times New Roman"/>
          <w:i/>
          <w:color w:val="6B6B6B"/>
          <w:sz w:val="22"/>
        </w:rPr>
        <w:t>Таблица 1</w:t>
      </w:r>
    </w:p>
    <w:p>
      <w:pPr>
        <w:ind w:firstLine="709"/>
      </w:pPr>
      <w:r>
        <w:rPr>
          <w:rFonts w:ascii="Times New Roman" w:hAnsi="Times New Roman"/>
          <w:color w:val="2D2D2D"/>
          <w:sz w:val="28"/>
        </w:rPr>
        <w:t>Такая таблица позволяет систематизировать наблюдения, выявить авторскую позицию (даже в народной сказке), обсудить, какие качества ценятся в народе, почему сказка построена на противопоставлении. Затем можно написать синквейн на тему «Доброта» или устроить дискуссию «Справедлива ли награда Настеньки?» с использованием приема «шесть шляп мышления» в адаптированном виде: белая шляпа — факты из сказки, красная — эмоции, которые вызвала сказка, желтая — что хорошего в поступках героев, черная — что плохого, зеленая — как можно было бы изменить конец, синяя — главный вывод. Для младших школьников можно использовать упрощенный вариант с цветными карточками, где каждая карточка соответствует определенному типу вопросов.</w:t>
      </w:r>
    </w:p>
    <w:p>
      <w:pPr>
        <w:ind w:firstLine="709"/>
      </w:pPr>
      <w:r>
        <w:rPr>
          <w:rFonts w:ascii="Times New Roman" w:hAnsi="Times New Roman"/>
          <w:color w:val="2D2D2D"/>
          <w:sz w:val="28"/>
        </w:rPr>
        <w:t>При работе с лирическим стихотворением, например, стихотворением Сергея Есенина «Береза», на этапе вызова можно предложить рассмотреть иллюстрации зимнего пейзажа, послушать фрагмент музыкального произведения, обменяться впечатлениями, записать ассоциации со словом «зима». На этапе осмысления учитель читает стихотворение целиком, затем организует повторное медленное чтение с выделением образов, сравнений, олицетворений. Используется прием «двойной дневник»: в левой колонке выписываются строки, наиболее поразившие воображение, в правой — объясняется, какие чувства и образы они вызывают. Например:</w:t>
      </w:r>
    </w:p>
    <w:tbl>
      <w:tblPr>
        <w:tblW w:type="auto" w:w="0"/>
        <w:jc w:val="center"/>
        <w:tblLayout w:type="autofit"/>
        <w:tblLook w:firstColumn="1" w:firstRow="1" w:lastColumn="0" w:lastRow="0" w:noHBand="0" w:noVBand="1" w:val="04A0"/>
      </w:tblPr>
      <w:tblGrid>
        <w:gridCol w:w="4844"/>
        <w:gridCol w:w="4844"/>
      </w:tblGrid>
      <w:tr>
        <w:tc>
          <w:tcPr>
            <w:tcW w:type="dxa" w:w="4844"/>
            <w:shd w:fill="1a3a5c" w:val="clear"/>
            <w:tcBorders>
              <w:top w:val="single" w:sz="4" w:space="0" w:color="1a3a5c"/>
              <w:left w:val="single" w:sz="4" w:space="0" w:color="1a3a5c"/>
              <w:bottom w:val="single" w:sz="4" w:space="0" w:color="1a3a5c"/>
              <w:right w:val="single" w:sz="4" w:space="0" w:color="1a3a5c"/>
            </w:tcBorders>
          </w:tcPr>
          <w:p>
            <w:pPr>
              <w:spacing w:before="40" w:after="40"/>
              <w:jc w:val="center"/>
            </w:pPr>
            <w:r/>
            <w:r>
              <w:rPr>
                <w:rFonts w:ascii="Times New Roman" w:hAnsi="Times New Roman"/>
                <w:b/>
                <w:color w:val="FFFFFF"/>
                <w:sz w:val="22"/>
              </w:rPr>
              <w:t>Строка из стихотворения</w:t>
            </w:r>
          </w:p>
        </w:tc>
        <w:tc>
          <w:tcPr>
            <w:tcW w:type="dxa" w:w="4844"/>
            <w:shd w:fill="1a3a5c" w:val="clear"/>
            <w:tcBorders>
              <w:top w:val="single" w:sz="4" w:space="0" w:color="1a3a5c"/>
              <w:left w:val="single" w:sz="4" w:space="0" w:color="1a3a5c"/>
              <w:bottom w:val="single" w:sz="4" w:space="0" w:color="1a3a5c"/>
              <w:right w:val="single" w:sz="4" w:space="0" w:color="1a3a5c"/>
            </w:tcBorders>
          </w:tcPr>
          <w:p>
            <w:pPr>
              <w:spacing w:before="40" w:after="40"/>
              <w:jc w:val="center"/>
            </w:pPr>
            <w:r/>
            <w:r>
              <w:rPr>
                <w:rFonts w:ascii="Times New Roman" w:hAnsi="Times New Roman"/>
                <w:b/>
                <w:color w:val="FFFFFF"/>
                <w:sz w:val="22"/>
              </w:rPr>
              <w:t>Мои мысли и чувства</w:t>
            </w:r>
          </w:p>
        </w:tc>
      </w:tr>
      <w:tr>
        <w:tc>
          <w:tcPr>
            <w:tcW w:type="dxa" w:w="4844"/>
            <w:tcBorders>
              <w:top w:val="single" w:sz="4" w:space="0" w:color="1a3a5c"/>
              <w:left w:val="single" w:sz="4" w:space="0" w:color="1a3a5c"/>
              <w:bottom w:val="single" w:sz="4" w:space="0" w:color="1a3a5c"/>
              <w:right w:val="single" w:sz="4" w:space="0" w:color="1a3a5c"/>
            </w:tcBorders>
          </w:tcPr>
          <w:p>
            <w:pPr>
              <w:spacing w:before="40" w:after="40"/>
            </w:pPr>
            <w:r/>
            <w:r>
              <w:rPr>
                <w:rFonts w:ascii="Times New Roman" w:hAnsi="Times New Roman"/>
                <w:b w:val="0"/>
                <w:color w:val="2D2D2D"/>
                <w:sz w:val="22"/>
              </w:rPr>
              <w:t>«Принакрылась снегом, точно серебром»</w:t>
            </w:r>
          </w:p>
        </w:tc>
        <w:tc>
          <w:tcPr>
            <w:tcW w:type="dxa" w:w="4844"/>
            <w:tcBorders>
              <w:top w:val="single" w:sz="4" w:space="0" w:color="1a3a5c"/>
              <w:left w:val="single" w:sz="4" w:space="0" w:color="1a3a5c"/>
              <w:bottom w:val="single" w:sz="4" w:space="0" w:color="1a3a5c"/>
              <w:right w:val="single" w:sz="4" w:space="0" w:color="1a3a5c"/>
            </w:tcBorders>
          </w:tcPr>
          <w:p>
            <w:pPr>
              <w:spacing w:before="40" w:after="40"/>
              <w:jc w:val="right"/>
            </w:pPr>
            <w:r/>
            <w:r>
              <w:rPr>
                <w:rFonts w:ascii="Times New Roman" w:hAnsi="Times New Roman"/>
                <w:b w:val="0"/>
                <w:color w:val="2D2D2D"/>
                <w:sz w:val="22"/>
              </w:rPr>
              <w:t>Кажется, что береза как живая, она укрылась снегом, как одеялом, снег блестит, как серебро</w:t>
            </w:r>
          </w:p>
        </w:tc>
      </w:tr>
      <w:tr>
        <w:tc>
          <w:tcPr>
            <w:tcW w:type="dxa" w:w="4844"/>
            <w:tcBorders>
              <w:top w:val="single" w:sz="4" w:space="0" w:color="1a3a5c"/>
              <w:left w:val="single" w:sz="4" w:space="0" w:color="1a3a5c"/>
              <w:bottom w:val="single" w:sz="4" w:space="0" w:color="1a3a5c"/>
              <w:right w:val="single" w:sz="4" w:space="0" w:color="1a3a5c"/>
            </w:tcBorders>
            <w:shd w:fill="f0f4f8" w:val="clear"/>
          </w:tcPr>
          <w:p>
            <w:pPr>
              <w:spacing w:before="40" w:after="40"/>
            </w:pPr>
            <w:r/>
            <w:r>
              <w:rPr>
                <w:rFonts w:ascii="Times New Roman" w:hAnsi="Times New Roman"/>
                <w:b w:val="0"/>
                <w:color w:val="2D2D2D"/>
                <w:sz w:val="22"/>
              </w:rPr>
              <w:t>«И горят снежинки в золотом огне»</w:t>
            </w:r>
          </w:p>
        </w:tc>
        <w:tc>
          <w:tcPr>
            <w:tcW w:type="dxa" w:w="4844"/>
            <w:tcBorders>
              <w:top w:val="single" w:sz="4" w:space="0" w:color="1a3a5c"/>
              <w:left w:val="single" w:sz="4" w:space="0" w:color="1a3a5c"/>
              <w:bottom w:val="single" w:sz="4" w:space="0" w:color="1a3a5c"/>
              <w:right w:val="single" w:sz="4" w:space="0" w:color="1a3a5c"/>
            </w:tcBorders>
            <w:shd w:fill="f0f4f8" w:val="clear"/>
          </w:tcPr>
          <w:p>
            <w:pPr>
              <w:spacing w:before="40" w:after="40"/>
              <w:jc w:val="right"/>
            </w:pPr>
            <w:r/>
            <w:r>
              <w:rPr>
                <w:rFonts w:ascii="Times New Roman" w:hAnsi="Times New Roman"/>
                <w:b w:val="0"/>
                <w:color w:val="2D2D2D"/>
                <w:sz w:val="22"/>
              </w:rPr>
              <w:t>Снежинки сверкают на солнце, как искры, очень красиво, ощущение чуда</w:t>
            </w:r>
          </w:p>
        </w:tc>
      </w:tr>
    </w:tbl>
    <w:p>
      <w:pPr>
        <w:spacing w:before="80" w:after="80" w:line="240" w:lineRule="auto"/>
        <w:ind w:firstLine="0"/>
      </w:pPr>
      <w:r>
        <w:rPr>
          <w:sz w:val="8"/>
        </w:rPr>
      </w:r>
    </w:p>
    <w:p>
      <w:pPr>
        <w:spacing w:after="120" w:line="240" w:lineRule="auto"/>
        <w:ind w:firstLine="0"/>
        <w:jc w:val="center"/>
      </w:pPr>
      <w:r>
        <w:rPr>
          <w:rFonts w:ascii="Times New Roman" w:hAnsi="Times New Roman"/>
          <w:i/>
          <w:color w:val="6B6B6B"/>
          <w:sz w:val="22"/>
        </w:rPr>
        <w:t>Таблица 2</w:t>
      </w:r>
    </w:p>
    <w:p>
      <w:pPr>
        <w:ind w:firstLine="709"/>
      </w:pPr>
      <w:r>
        <w:rPr>
          <w:rFonts w:ascii="Times New Roman" w:hAnsi="Times New Roman"/>
          <w:color w:val="2D2D2D"/>
          <w:sz w:val="28"/>
        </w:rPr>
        <w:t>Такая работа развивает умение видеть художественные средства, понимать настроение стихотворения, выражать собственное восприятие. На этапе рефлексии можно предложить детям нарисовать березу, какой они ее представили, а затем сравнить рисунки, обсудить, почему у всех получились разные образы, хотя стихотворение одно. Это подводит к выводу о субъективности восприятия искусства, о важности личного опыта читателя. Можно также создать синквейн «Береза» или «Зима», провести конкурс чтецов, где каждый старается передать настроение стихотворения.</w:t>
      </w:r>
    </w:p>
    <w:p>
      <w:pPr>
        <w:pStyle w:val="Heading2"/>
        <w:spacing w:before="480" w:after="200" w:line="276" w:lineRule="auto"/>
        <w:ind w:firstLine="0"/>
      </w:pPr>
      <w:r>
        <w:rPr>
          <w:rFonts w:ascii="Times New Roman" w:hAnsi="Times New Roman"/>
          <w:b/>
          <w:color w:val="C95A2B"/>
          <w:sz w:val="30"/>
        </w:rPr>
        <w:t>Результаты применения технологии развития критического мышления на уроках чтения</w:t>
      </w:r>
    </w:p>
    <w:p>
      <w:pPr>
        <w:ind w:firstLine="709"/>
      </w:pPr>
      <w:r>
        <w:rPr>
          <w:rFonts w:ascii="Times New Roman" w:hAnsi="Times New Roman"/>
          <w:color w:val="2D2D2D"/>
          <w:sz w:val="28"/>
        </w:rPr>
        <w:t>Опыт использования технологии развития критического мышления в начальной школе позволяет говорить о ряде положительных изменений в учебной деятельности и личностном развитии младших школьников. Прежде всего, у обучающихся формируется устойчивая мотивация к чтению, поскольку урок перестает быть простым пересказом и заучиванием, а превращается в увлекательное исследование, игру, диалог. Дети с интересом выполняют задания, связанные с прогнозированием, выдвижением гипотез, обсуждением неоднозначных поступков героев.</w:t>
      </w:r>
    </w:p>
    <w:p>
      <w:pPr>
        <w:ind w:firstLine="709"/>
      </w:pPr>
      <w:r>
        <w:rPr>
          <w:rFonts w:ascii="Times New Roman" w:hAnsi="Times New Roman"/>
          <w:color w:val="2D2D2D"/>
          <w:sz w:val="28"/>
        </w:rPr>
        <w:t>Кроме того, технология способствует развитию метапредметных умений, входящих в состав читательской грамотности: умение находить в тексте явную и скрытую информацию, устанавливать причинно-следственные связи, формулировать выводы, оценивать достоверность суждений, интерпретировать содержание, соотносить прочитанное с собственным опытом. Систематическое использование приемов «инсерт», «толстые и тонкие вопросы», «таблица ЗХУ» приучает школьников к активной работе с текстом, исключающей пассивное скольжение по поверхности.</w:t>
      </w:r>
    </w:p>
    <w:p>
      <w:pPr>
        <w:ind w:firstLine="709"/>
      </w:pPr>
      <w:r>
        <w:rPr>
          <w:rFonts w:ascii="Times New Roman" w:hAnsi="Times New Roman"/>
          <w:color w:val="2D2D2D"/>
          <w:sz w:val="28"/>
        </w:rPr>
        <w:t>Важным результатом является развитие коммуникативных универсальных учебных действий: умения слушать и слышать друг друга, аргументированно отстаивать свою точку зрения, принимать иную позицию, работать в паре и группе. Приемы технологии создают естественные ситуации общения, в которых каждый ученик имеет возможность высказаться, быть услышанным, задать вопрос.</w:t>
      </w:r>
    </w:p>
    <w:p>
      <w:pPr>
        <w:ind w:firstLine="709"/>
      </w:pPr>
      <w:r>
        <w:rPr>
          <w:rFonts w:ascii="Times New Roman" w:hAnsi="Times New Roman"/>
          <w:color w:val="2D2D2D"/>
          <w:sz w:val="28"/>
        </w:rPr>
        <w:t>Не менее значимо влияние технологии на развитие рефлексивных способностей. Младшие школьники учатся осознавать, что они знали до чтения, что узнали нового, какие вопросы остались без ответа, как изменилось их понимание. Это способствует формированию у них позиции субъекта учебной деятельности, готовности к самооценке и самокоррекции.</w:t>
      </w:r>
    </w:p>
    <w:p>
      <w:pPr>
        <w:ind w:firstLine="709"/>
      </w:pPr>
      <w:r>
        <w:rPr>
          <w:rFonts w:ascii="Times New Roman" w:hAnsi="Times New Roman"/>
          <w:color w:val="2D2D2D"/>
          <w:sz w:val="28"/>
        </w:rPr>
        <w:t>Наконец, применение технологии развития критического мышления на уроках чтения положительно сказывается на нравственном развитии детей. Художественные тексты содержат множество ситуаций морального выбора, конфликтов, требующих оценки. Приемы ТРКМ помогают не только понять сюжет, но и занять осмысленную нравственную позицию, соотнести поступки героев с собственными ценностными ориентациями, развить эмпатию и способность к децентрации.</w:t>
      </w:r>
    </w:p>
    <w:p>
      <w:pPr>
        <w:pStyle w:val="Heading2"/>
        <w:spacing w:before="480" w:after="200" w:line="276" w:lineRule="auto"/>
        <w:ind w:firstLine="0"/>
      </w:pPr>
      <w:r>
        <w:rPr>
          <w:rFonts w:ascii="Times New Roman" w:hAnsi="Times New Roman"/>
          <w:b/>
          <w:color w:val="C95A2B"/>
          <w:sz w:val="30"/>
        </w:rPr>
        <w:t>Заключение</w:t>
      </w:r>
    </w:p>
    <w:p>
      <w:pPr>
        <w:ind w:firstLine="709"/>
      </w:pPr>
      <w:r>
        <w:rPr>
          <w:rFonts w:ascii="Times New Roman" w:hAnsi="Times New Roman"/>
          <w:color w:val="2D2D2D"/>
          <w:sz w:val="28"/>
        </w:rPr>
        <w:t>Технология развития критического мышления представляет собой действенный инструмент модернизации урока чтения в начальной школе. Ее трехфазовая структура — вызов, осмысление, рефлексия — соответствует закономерностям познавательной деятельности младших школьников и позволяет преодолеть репродуктивный характер традиционного обучения. В ходе применения технологии учитель имеет возможность решать комплекс задач: формировать навыки смыслового чтения, развивать мыслительные операции анализа, синтеза, оценки, обогащать словарный запас, воспитывать культуру диалога и сотрудничества.</w:t>
      </w:r>
    </w:p>
    <w:p>
      <w:pPr>
        <w:ind w:firstLine="709"/>
      </w:pPr>
      <w:r>
        <w:rPr>
          <w:rFonts w:ascii="Times New Roman" w:hAnsi="Times New Roman"/>
          <w:color w:val="2D2D2D"/>
          <w:sz w:val="28"/>
        </w:rPr>
        <w:t>Представленная методика, включающая разнообразные приемы — верные и неверные утверждения, таблицу ЗХУ, дерево предсказаний, инсерт, чтение с остановками, толстые и тонкие вопросы, синквейн, кластер, двойной дневник, — не требует специальных материальных затрат и легко встраивается в структуру любого урока литературного чтения. Важно, чтобы учитель осознанно отбирал приемы в соответствии с целями, жанром текста и возрастными возможностями учеников, не превращая технологию в формальный набор заданий.</w:t>
      </w:r>
    </w:p>
    <w:p>
      <w:pPr>
        <w:ind w:firstLine="709"/>
      </w:pPr>
      <w:r>
        <w:rPr>
          <w:rFonts w:ascii="Times New Roman" w:hAnsi="Times New Roman"/>
          <w:color w:val="2D2D2D"/>
          <w:sz w:val="28"/>
        </w:rPr>
        <w:t>Перспективы дальнейшей работы связаны с более детальной разработкой методик использования технологии развития критического мышления при изучении разных литературных жанров в начальной школе, а также с изучением динамики развития критического мышления у младших школьников в условиях систематического применения технологии на протяжении всего периода обучения.</w:t>
      </w:r>
    </w:p>
    <w:p>
      <w:pPr>
        <w:ind w:firstLine="709"/>
      </w:pPr>
      <w:r>
        <w:rPr>
          <w:rFonts w:ascii="Times New Roman" w:hAnsi="Times New Roman"/>
          <w:color w:val="2D2D2D"/>
          <w:sz w:val="28"/>
        </w:rPr>
        <w:t>Список литературы</w:t>
      </w:r>
    </w:p>
    <w:p>
      <w:pPr>
        <w:pStyle w:val="ListNumber"/>
        <w:ind w:firstLine="0"/>
      </w:pPr>
      <w:r>
        <w:rPr>
          <w:rFonts w:ascii="Times New Roman" w:hAnsi="Times New Roman"/>
          <w:color w:val="2D2D2D"/>
          <w:sz w:val="28"/>
        </w:rPr>
        <w:t>Выготский Л.С. Мышление и речь.</w:t>
      </w:r>
    </w:p>
    <w:p>
      <w:pPr>
        <w:pStyle w:val="ListNumber"/>
        <w:ind w:firstLine="0"/>
      </w:pPr>
      <w:r>
        <w:rPr>
          <w:rFonts w:ascii="Times New Roman" w:hAnsi="Times New Roman"/>
          <w:color w:val="2D2D2D"/>
          <w:sz w:val="28"/>
        </w:rPr>
        <w:t>Эльконин Д.Б. Психология обучения младшего школьника.</w:t>
      </w:r>
    </w:p>
    <w:p>
      <w:pPr>
        <w:pStyle w:val="ListNumber"/>
        <w:ind w:firstLine="0"/>
      </w:pPr>
      <w:r>
        <w:rPr>
          <w:rFonts w:ascii="Times New Roman" w:hAnsi="Times New Roman"/>
          <w:color w:val="2D2D2D"/>
          <w:sz w:val="28"/>
        </w:rPr>
        <w:t>Рубинштейн С.Л. Основы общей психологии.</w:t>
      </w:r>
    </w:p>
    <w:p>
      <w:pPr>
        <w:pStyle w:val="ListNumber"/>
        <w:ind w:firstLine="0"/>
      </w:pPr>
      <w:r>
        <w:rPr>
          <w:rFonts w:ascii="Times New Roman" w:hAnsi="Times New Roman"/>
          <w:color w:val="2D2D2D"/>
          <w:sz w:val="28"/>
        </w:rPr>
        <w:t>Давыдов В.В. Теория развивающего обучения.</w:t>
      </w:r>
    </w:p>
    <w:p>
      <w:pPr>
        <w:pStyle w:val="ListNumber"/>
        <w:ind w:firstLine="0"/>
      </w:pPr>
      <w:r>
        <w:rPr>
          <w:rFonts w:ascii="Times New Roman" w:hAnsi="Times New Roman"/>
          <w:color w:val="2D2D2D"/>
          <w:sz w:val="28"/>
        </w:rPr>
        <w:t>Леонтьев А.Н. Деятельность. Сознание. Личность.</w:t>
      </w:r>
    </w:p>
    <w:p>
      <w:pPr>
        <w:pStyle w:val="ListNumber"/>
        <w:ind w:firstLine="0"/>
      </w:pPr>
      <w:r>
        <w:rPr>
          <w:rFonts w:ascii="Times New Roman" w:hAnsi="Times New Roman"/>
          <w:color w:val="2D2D2D"/>
          <w:sz w:val="28"/>
        </w:rPr>
        <w:t>Блонский П.П. Память и мышление.</w:t>
      </w:r>
    </w:p>
    <w:p>
      <w:pPr>
        <w:pStyle w:val="ListNumber"/>
        <w:ind w:firstLine="0"/>
      </w:pPr>
      <w:r>
        <w:rPr>
          <w:rFonts w:ascii="Times New Roman" w:hAnsi="Times New Roman"/>
          <w:color w:val="2D2D2D"/>
          <w:sz w:val="28"/>
        </w:rPr>
        <w:t>Заир-Бек С.И., Муштавинская И.В. Развитие критического мышления на уроке.</w:t>
      </w:r>
    </w:p>
    <w:p>
      <w:pPr>
        <w:pStyle w:val="ListNumber"/>
        <w:ind w:firstLine="0"/>
      </w:pPr>
      <w:r>
        <w:rPr>
          <w:rFonts w:ascii="Times New Roman" w:hAnsi="Times New Roman"/>
          <w:color w:val="2D2D2D"/>
          <w:sz w:val="28"/>
        </w:rPr>
        <w:t>Халперн Д. Психология критического мышления.</w:t>
      </w:r>
    </w:p>
    <w:p>
      <w:pPr>
        <w:pStyle w:val="ListNumber"/>
        <w:ind w:firstLine="0"/>
      </w:pPr>
      <w:r>
        <w:rPr>
          <w:rFonts w:ascii="Times New Roman" w:hAnsi="Times New Roman"/>
          <w:color w:val="2D2D2D"/>
          <w:sz w:val="28"/>
        </w:rPr>
        <w:t>Актуальные публикации в научно-методических журналах «Начальная школа», «Педагогика», «Литература в школе» за 2020–2024 годы по проблемам развития критического мышления и читательской грамотности младших школьников.</w:t>
      </w:r>
    </w:p>
    <w:p>
      <w:pPr>
        <w:pStyle w:val="ListNumber"/>
        <w:ind w:firstLine="0"/>
      </w:pPr>
      <w:r>
        <w:rPr>
          <w:rFonts w:ascii="Times New Roman" w:hAnsi="Times New Roman"/>
          <w:color w:val="2D2D2D"/>
          <w:sz w:val="28"/>
        </w:rPr>
        <w:t>Материалы всероссийских научно-практических конференций по вопросам начального образования и современных образовательных технологий (2022–2024 гг.).</w:t>
      </w:r>
    </w:p>
    <w:sectPr w:rsidR="00FC693F" w:rsidRPr="0006063C" w:rsidSect="00034616">
      <w:headerReference w:type="default" r:id="rId9"/>
      <w:footerReference w:type="default" r:id="rId10"/>
      <w:pgSz w:w="12240" w:h="15840"/>
      <w:pgMar w:top="1134" w:right="1134"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ind w:firstLine="0"/>
      <w:jc w:val="center"/>
      <w:pBdr>
        <w:top w:val="single" w:sz="4" w:space="4" w:color="1a3a5c"/>
      </w:pBdr>
    </w:pPr>
    <w:r>
      <w:rPr>
        <w:rFonts w:ascii="Times New Roman" w:hAnsi="Times New Roman"/>
        <w:color w:val="6B6B6B"/>
        <w:sz w:val="20"/>
      </w:rPr>
      <w:t xml:space="preserve">Страница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ind w:firstLine="0"/>
      <w:jc w:val="center"/>
      <w:pBdr>
        <w:bottom w:val="single" w:sz="4" w:space="4" w:color="1a3a5c"/>
      </w:pBdr>
    </w:pPr>
    <w:r>
      <w:rPr>
        <w:rFonts w:ascii="Times New Roman" w:hAnsi="Times New Roman"/>
        <w:i/>
        <w:color w:val="6B6B6B"/>
        <w:sz w:val="20"/>
      </w:rPr>
      <w:t>Использование технологии развития критического мышления на уроках чтения</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after="120" w:before="0"/>
      <w:ind w:firstLine="709"/>
    </w:pPr>
    <w:rPr>
      <w:rFonts w:eastAsia="Times New Roman"/>
      <w:rFonts w:ascii="Times New Roman" w:hAnsi="Times New Roman"/>
      <w:color w:val="2D2D2D"/>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200" w:line="276" w:lineRule="auto"/>
      <w:ind w:firstLine="0"/>
      <w:jc w:val="center"/>
      <w:outlineLvl w:val="0"/>
    </w:pPr>
    <w:rPr>
      <w:rFonts w:asciiTheme="majorHAnsi" w:eastAsiaTheme="majorEastAsia" w:hAnsiTheme="majorHAnsi" w:cstheme="majorBidi" w:ascii="Times New Roman" w:hAnsi="Times New Roman"/>
      <w:b/>
      <w:bCs/>
      <w:color w:val="1A3A5C"/>
      <w:sz w:val="36"/>
      <w:szCs w:val="28"/>
    </w:rPr>
  </w:style>
  <w:style w:type="paragraph" w:styleId="Heading2">
    <w:name w:val="heading 2"/>
    <w:basedOn w:val="Normal"/>
    <w:next w:val="Normal"/>
    <w:link w:val="Heading2Char"/>
    <w:uiPriority w:val="9"/>
    <w:unhideWhenUsed/>
    <w:qFormat/>
    <w:rsid w:val="00FC693F"/>
    <w:pPr>
      <w:keepNext/>
      <w:keepLines/>
      <w:spacing w:before="480" w:after="200" w:line="276" w:lineRule="auto"/>
      <w:ind w:firstLine="0"/>
      <w:outlineLvl w:val="1"/>
    </w:pPr>
    <w:rPr>
      <w:rFonts w:asciiTheme="majorHAnsi" w:eastAsiaTheme="majorEastAsia" w:hAnsiTheme="majorHAnsi" w:cstheme="majorBidi" w:ascii="Times New Roman" w:hAnsi="Times New Roman"/>
      <w:b/>
      <w:bCs/>
      <w:color w:val="C95A2B"/>
      <w:sz w:val="30"/>
      <w:szCs w:val="26"/>
    </w:rPr>
  </w:style>
  <w:style w:type="paragraph" w:styleId="Heading3">
    <w:name w:val="heading 3"/>
    <w:basedOn w:val="Normal"/>
    <w:next w:val="Normal"/>
    <w:link w:val="Heading3Char"/>
    <w:uiPriority w:val="9"/>
    <w:unhideWhenUsed/>
    <w:qFormat/>
    <w:rsid w:val="00FC693F"/>
    <w:pPr>
      <w:keepNext/>
      <w:keepLines/>
      <w:spacing w:before="480" w:after="200" w:line="276" w:lineRule="auto"/>
      <w:ind w:firstLine="0"/>
      <w:outlineLvl w:val="2"/>
    </w:pPr>
    <w:rPr>
      <w:rFonts w:asciiTheme="majorHAnsi" w:eastAsiaTheme="majorEastAsia" w:hAnsiTheme="majorHAnsi" w:cstheme="majorBidi" w:ascii="Times New Roman" w:hAnsi="Times New Roman"/>
      <w:b/>
      <w:bCs/>
      <w:i/>
      <w:color w:val="1A3A5C"/>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