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49"/>
        <w:gridCol w:w="6"/>
      </w:tblGrid>
      <w:tr w:rsidR="00884E23" w:rsidRPr="00884E23" w:rsidTr="00884E23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884E23" w:rsidRPr="00884E23" w:rsidRDefault="00884E23" w:rsidP="00884E23">
            <w:pPr>
              <w:shd w:val="clear" w:color="auto" w:fill="71BEF7"/>
              <w:spacing w:before="28" w:after="28" w:line="240" w:lineRule="auto"/>
              <w:jc w:val="center"/>
              <w:outlineLvl w:val="1"/>
              <w:rPr>
                <w:rFonts w:ascii="Verdana" w:eastAsia="Times New Roman" w:hAnsi="Verdana" w:cs="Times New Roman"/>
                <w:b/>
                <w:bCs/>
                <w:color w:val="FFFFFF"/>
                <w:kern w:val="36"/>
                <w:sz w:val="34"/>
                <w:szCs w:val="34"/>
                <w:lang w:eastAsia="ru-RU"/>
              </w:rPr>
            </w:pPr>
          </w:p>
        </w:tc>
      </w:tr>
      <w:tr w:rsidR="00884E23" w:rsidRPr="00884E23" w:rsidTr="00884E23">
        <w:trPr>
          <w:trHeight w:val="31680"/>
          <w:tblCellSpacing w:w="0" w:type="dxa"/>
        </w:trPr>
        <w:tc>
          <w:tcPr>
            <w:tcW w:w="9720" w:type="dxa"/>
            <w:shd w:val="clear" w:color="auto" w:fill="FFFFFF"/>
            <w:tcMar>
              <w:top w:w="0" w:type="dxa"/>
              <w:left w:w="138" w:type="dxa"/>
              <w:bottom w:w="0" w:type="dxa"/>
              <w:right w:w="138" w:type="dxa"/>
            </w:tcMar>
            <w:hideMark/>
          </w:tcPr>
          <w:p w:rsidR="00884E23" w:rsidRPr="00884E23" w:rsidRDefault="00884E23" w:rsidP="00884E23">
            <w:pPr>
              <w:spacing w:before="28" w:after="28" w:line="240" w:lineRule="auto"/>
              <w:jc w:val="center"/>
              <w:rPr>
                <w:rFonts w:ascii="Verdana" w:eastAsia="Times New Roman" w:hAnsi="Verdana" w:cs="Times New Roman"/>
                <w:color w:val="404040" w:themeColor="text1" w:themeTint="BF"/>
                <w:sz w:val="36"/>
                <w:szCs w:val="36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36"/>
                <w:szCs w:val="36"/>
                <w:lang w:eastAsia="ru-RU"/>
              </w:rPr>
              <w:t>Использование ИКТ в работе логопеда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7"/>
                <w:lang w:eastAsia="ru-RU"/>
              </w:rPr>
            </w:pP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РАБОТА С ПЕДАГОГАМИ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•         Выступление на педсовете, методическом объединение, конференции;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•         Консультативная помощь на страницах персонального сайта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•         Участие в профессиональных конкурсах;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 xml:space="preserve">•         Участие в </w:t>
            </w:r>
            <w:proofErr w:type="spellStart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вебинарах</w:t>
            </w:r>
            <w:proofErr w:type="spellEnd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.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 xml:space="preserve">В условиях </w:t>
            </w:r>
            <w:proofErr w:type="spellStart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логокабинета</w:t>
            </w:r>
            <w:proofErr w:type="spellEnd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 xml:space="preserve"> использование учителем-логопедом авторских </w:t>
            </w:r>
            <w:proofErr w:type="spellStart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слай-презентаций</w:t>
            </w:r>
            <w:proofErr w:type="spellEnd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 xml:space="preserve"> на педсоветах, РМО, конференциях дает возможность подать материал в привлекательном виде, привнести эффект наглядности и помогает усвоить материал быстрее и в полном объеме.  Воспитателям также рекомендуется применение </w:t>
            </w:r>
            <w:proofErr w:type="spellStart"/>
            <w:proofErr w:type="gramStart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слайд-презентаций</w:t>
            </w:r>
            <w:proofErr w:type="spellEnd"/>
            <w:proofErr w:type="gramEnd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 xml:space="preserve"> при проведении артикуляционной и пальчиковой гимнастики, развития лексико-грамматических категорий и связной речи.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РАБОТА С РОДИТЕЛЯМИ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 xml:space="preserve">Логопедическая работа с дошкольниками, в условиях </w:t>
            </w:r>
            <w:proofErr w:type="spellStart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логокабинета</w:t>
            </w:r>
            <w:proofErr w:type="spellEnd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, предполагает активное включение родителей в коррекционный процесс и закрепление в условиях семьи новых речевых навыков. Использование ИКТ  дает возможность расширить осведомленность родителей в вопросах воспитания и обучения детей-логопатов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•         Выступление на собраниях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•         Участие в творческих конкурсах детей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•         Изготовление буклетов, памяток,  рекомендаций для родителей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•         Консультативная помощь на страницах персонального сайта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РАБОТА НА СТРАНИЦАХ ПЕРСОНАЛЬНОГО  САЙТА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При реализации задач профилактического, консультативного и методического направления деятельности, активно использую персональный сайт, сайт детского сада, что позволяет объединить всех участников образовательного процесса в решении задач коррекционно-речевой работы.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proofErr w:type="gramStart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Остановимся на особенностях сайта, которые позволяют учителю-логопеду  использовать его в практике: публичность, что  делает материалы доступными для чтения коллегами, родителями; возможность оставлять комментарии, которые также доступны для чтения, получать обратную связь от родителей, коллег, отвечая на комментарии; позволяет отразить события, происходящие в жизни коллектива, в жизни отдельной личности (достижения детей, деятельность педагога);</w:t>
            </w:r>
            <w:proofErr w:type="gramEnd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 xml:space="preserve"> авторство.  Персональный сайт имеет функцию хранилища электронного </w:t>
            </w:r>
            <w:proofErr w:type="spellStart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портфолио</w:t>
            </w:r>
            <w:proofErr w:type="spellEnd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, электронной библиотеки, документов,  методических материалов, полезных ссылок, собственных разработок, фотографий, видео.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 xml:space="preserve">     Однако следует помнить, что  использование ИКТ не заменяет живое общение учителя-логопеда и ребенка, учителя-логопеда и родителей, а дополняет его. Применение ИКТ в сочетании с </w:t>
            </w:r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lastRenderedPageBreak/>
              <w:t xml:space="preserve">традиционными методами позволяют учителю-логопеду не только идти в ногу со временем, выполняя требования законодательства,  но и оптимизировать, систематизировать свою работу в условиях </w:t>
            </w:r>
            <w:proofErr w:type="spellStart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логокабинета</w:t>
            </w:r>
            <w:proofErr w:type="spellEnd"/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4"/>
                <w:szCs w:val="24"/>
                <w:lang w:eastAsia="ru-RU"/>
              </w:rPr>
              <w:t>, значительно повысить эффективность коррекционно-образовательного процесса.</w:t>
            </w:r>
          </w:p>
          <w:p w:rsidR="00884E23" w:rsidRPr="00884E23" w:rsidRDefault="00884E23" w:rsidP="00884E23">
            <w:pPr>
              <w:spacing w:before="28" w:after="28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  <w:t> </w:t>
            </w:r>
          </w:p>
          <w:p w:rsidR="00884E23" w:rsidRPr="00884E23" w:rsidRDefault="00884E23" w:rsidP="00884E23">
            <w:pPr>
              <w:spacing w:before="28" w:after="135" w:line="240" w:lineRule="auto"/>
              <w:ind w:firstLine="426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В рамках профилактической работы, проводимой мною в ДОУ, был разработан план по самообразованию, направленный на развитие фонематического восприятия</w:t>
            </w:r>
            <w:r w:rsidRPr="00884E23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8"/>
                <w:szCs w:val="28"/>
                <w:lang w:eastAsia="ru-RU"/>
              </w:rPr>
              <w:t> 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 xml:space="preserve">через игры, игровые упражнения и графические символы у детей с речевыми </w:t>
            </w:r>
            <w:proofErr w:type="spellStart"/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нарушениями</w:t>
            </w:r>
            <w:proofErr w:type="gramStart"/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.В</w:t>
            </w:r>
            <w:proofErr w:type="gramEnd"/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опрос</w:t>
            </w:r>
            <w:proofErr w:type="spellEnd"/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 xml:space="preserve"> о необходимости проведения такой работы возник на стыке двух проблем. С одной стороны, при ежегодном обследовании речи детей средних групп, обнаруживаются нарушения фонематического восприятия почти у 70% обследованных. Среди них – дети, не имеющие грубых речевых нарушений, и дети с нормой речи. С другой стороны, развитие фонематического восприятия в системе у детей в возрасте от 3-5 лет по программе </w:t>
            </w:r>
            <w:proofErr w:type="spellStart"/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Т.Н.Дороновой</w:t>
            </w:r>
            <w:proofErr w:type="spellEnd"/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 xml:space="preserve"> “Радуга” в ДОУ не ведётся. Возникает вопрос о том, что нужно сделать, что бы у пятилетних детей к моменту обследования состояние фонематического восприятия соответствовало возрастной норме. В связи с этим был разработан комплекс мероприятий, способствующий решению данной проблемы.</w:t>
            </w:r>
          </w:p>
          <w:p w:rsidR="00884E23" w:rsidRPr="00884E23" w:rsidRDefault="00884E23" w:rsidP="00884E23">
            <w:pPr>
              <w:spacing w:before="28" w:after="135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u w:val="single"/>
                <w:lang w:eastAsia="ru-RU"/>
              </w:rPr>
              <w:t>Целью первого года реализации 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плана стало развитие неречевого слуха у детей среднего дошкольного возраста как предпосылки становления речевого слуха и фонематических процессов в целом.</w:t>
            </w:r>
          </w:p>
          <w:p w:rsidR="00884E23" w:rsidRPr="00884E23" w:rsidRDefault="00884E23" w:rsidP="00884E23">
            <w:pPr>
              <w:spacing w:before="28" w:after="0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>За первый год была проведена следующая работа:</w:t>
            </w:r>
          </w:p>
          <w:p w:rsidR="00884E23" w:rsidRPr="00884E23" w:rsidRDefault="00884E23" w:rsidP="00884E23">
            <w:pPr>
              <w:spacing w:after="0" w:line="240" w:lineRule="auto"/>
              <w:ind w:left="495" w:hanging="360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Symbol" w:eastAsia="Times New Roman" w:hAnsi="Symbol" w:cs="Times New Roman"/>
                <w:color w:val="404040" w:themeColor="text1" w:themeTint="BF"/>
                <w:sz w:val="20"/>
                <w:szCs w:val="20"/>
                <w:lang w:eastAsia="ru-RU"/>
              </w:rPr>
              <w:t>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14"/>
                <w:szCs w:val="14"/>
                <w:lang w:eastAsia="ru-RU"/>
              </w:rPr>
              <w:t>         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проведена работа по самообразованию: изучена научно-педагогическая и специальная литература по проблеме проекта;</w:t>
            </w:r>
          </w:p>
          <w:p w:rsidR="00884E23" w:rsidRPr="00884E23" w:rsidRDefault="00884E23" w:rsidP="00884E23">
            <w:pPr>
              <w:spacing w:before="28" w:after="28" w:line="240" w:lineRule="auto"/>
              <w:ind w:left="495" w:hanging="360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Symbol" w:eastAsia="Times New Roman" w:hAnsi="Symbol" w:cs="Times New Roman"/>
                <w:color w:val="404040" w:themeColor="text1" w:themeTint="BF"/>
                <w:sz w:val="20"/>
                <w:szCs w:val="20"/>
                <w:lang w:eastAsia="ru-RU"/>
              </w:rPr>
              <w:t>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14"/>
                <w:szCs w:val="14"/>
                <w:lang w:eastAsia="ru-RU"/>
              </w:rPr>
              <w:t>         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разработаны критерии диагностики уровня развития неречевого слуха у детей дошкольного возраста;</w:t>
            </w:r>
          </w:p>
          <w:p w:rsidR="00884E23" w:rsidRPr="00884E23" w:rsidRDefault="00884E23" w:rsidP="00884E23">
            <w:pPr>
              <w:spacing w:before="28" w:after="28" w:line="240" w:lineRule="auto"/>
              <w:ind w:left="495" w:hanging="360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Symbol" w:eastAsia="Times New Roman" w:hAnsi="Symbol" w:cs="Times New Roman"/>
                <w:color w:val="404040" w:themeColor="text1" w:themeTint="BF"/>
                <w:sz w:val="20"/>
                <w:szCs w:val="20"/>
                <w:lang w:eastAsia="ru-RU"/>
              </w:rPr>
              <w:t>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14"/>
                <w:szCs w:val="14"/>
                <w:lang w:eastAsia="ru-RU"/>
              </w:rPr>
              <w:t>         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разработан план работы по реализации проекта;</w:t>
            </w:r>
          </w:p>
          <w:p w:rsidR="00884E23" w:rsidRPr="00884E23" w:rsidRDefault="00884E23" w:rsidP="00884E23">
            <w:pPr>
              <w:spacing w:before="28" w:after="28" w:line="240" w:lineRule="auto"/>
              <w:ind w:left="495" w:hanging="360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Symbol" w:eastAsia="Times New Roman" w:hAnsi="Symbol" w:cs="Times New Roman"/>
                <w:color w:val="404040" w:themeColor="text1" w:themeTint="BF"/>
                <w:sz w:val="20"/>
                <w:szCs w:val="20"/>
                <w:lang w:eastAsia="ru-RU"/>
              </w:rPr>
              <w:t>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14"/>
                <w:szCs w:val="14"/>
                <w:lang w:eastAsia="ru-RU"/>
              </w:rPr>
              <w:t>         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определены направления, по которым осуществляется развитие неречевого слуха;</w:t>
            </w:r>
          </w:p>
          <w:p w:rsidR="00884E23" w:rsidRPr="00884E23" w:rsidRDefault="00884E23" w:rsidP="00884E23">
            <w:pPr>
              <w:spacing w:before="28" w:after="28" w:line="240" w:lineRule="auto"/>
              <w:ind w:left="495" w:hanging="360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Symbol" w:eastAsia="Times New Roman" w:hAnsi="Symbol" w:cs="Times New Roman"/>
                <w:color w:val="404040" w:themeColor="text1" w:themeTint="BF"/>
                <w:sz w:val="20"/>
                <w:szCs w:val="20"/>
                <w:lang w:eastAsia="ru-RU"/>
              </w:rPr>
              <w:t>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14"/>
                <w:szCs w:val="14"/>
                <w:lang w:eastAsia="ru-RU"/>
              </w:rPr>
              <w:t>         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разработан и реализован тематический план проведения игр, позволяющих стимулировать развитие предпосылок становления фонематического восприятия у детей;</w:t>
            </w:r>
          </w:p>
          <w:p w:rsidR="00884E23" w:rsidRPr="00884E23" w:rsidRDefault="00884E23" w:rsidP="00884E23">
            <w:pPr>
              <w:spacing w:before="28" w:after="28" w:line="240" w:lineRule="auto"/>
              <w:ind w:left="495" w:hanging="360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Symbol" w:eastAsia="Times New Roman" w:hAnsi="Symbol" w:cs="Times New Roman"/>
                <w:color w:val="404040" w:themeColor="text1" w:themeTint="BF"/>
                <w:sz w:val="20"/>
                <w:szCs w:val="20"/>
                <w:lang w:eastAsia="ru-RU"/>
              </w:rPr>
              <w:t>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14"/>
                <w:szCs w:val="14"/>
                <w:lang w:eastAsia="ru-RU"/>
              </w:rPr>
              <w:t>         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составлена картотека дидактических игр по развитию неречевого слуха;</w:t>
            </w:r>
          </w:p>
          <w:p w:rsidR="00884E23" w:rsidRPr="00884E23" w:rsidRDefault="00884E23" w:rsidP="00884E23">
            <w:pPr>
              <w:spacing w:before="28" w:after="28" w:line="240" w:lineRule="auto"/>
              <w:ind w:left="495" w:hanging="360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Symbol" w:eastAsia="Times New Roman" w:hAnsi="Symbol" w:cs="Times New Roman"/>
                <w:color w:val="404040" w:themeColor="text1" w:themeTint="BF"/>
                <w:sz w:val="20"/>
                <w:szCs w:val="20"/>
                <w:lang w:eastAsia="ru-RU"/>
              </w:rPr>
              <w:t>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14"/>
                <w:szCs w:val="14"/>
                <w:lang w:eastAsia="ru-RU"/>
              </w:rPr>
              <w:t>         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проведена консультация для воспитателей, раннее развитие фонематического восприятия, как залог успешного освоения грамоты</w:t>
            </w:r>
          </w:p>
          <w:p w:rsidR="00884E23" w:rsidRPr="00884E23" w:rsidRDefault="00884E23" w:rsidP="00884E23">
            <w:pPr>
              <w:spacing w:before="28" w:after="28" w:line="240" w:lineRule="auto"/>
              <w:ind w:left="495" w:hanging="360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Symbol" w:eastAsia="Times New Roman" w:hAnsi="Symbol" w:cs="Times New Roman"/>
                <w:color w:val="404040" w:themeColor="text1" w:themeTint="BF"/>
                <w:sz w:val="20"/>
                <w:szCs w:val="20"/>
                <w:lang w:eastAsia="ru-RU"/>
              </w:rPr>
              <w:t>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14"/>
                <w:szCs w:val="14"/>
                <w:lang w:eastAsia="ru-RU"/>
              </w:rPr>
              <w:t>         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 проведена консультация родителей по вопросу возможности развития неречевого слуха в домашних условиях;</w:t>
            </w:r>
          </w:p>
          <w:p w:rsidR="00884E23" w:rsidRPr="00884E23" w:rsidRDefault="00884E23" w:rsidP="00884E23">
            <w:pPr>
              <w:spacing w:before="28" w:after="28" w:line="240" w:lineRule="auto"/>
              <w:ind w:firstLine="426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 xml:space="preserve">В течение года изучила методическую литературу: Ткаченко Т.А «Подготовка дошкольников к чтению и письму: фонетические символы»; Баранова В.В. «Формирование навыков </w:t>
            </w:r>
            <w:proofErr w:type="spellStart"/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звуко-слогового</w:t>
            </w:r>
            <w:proofErr w:type="spellEnd"/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 xml:space="preserve"> анализа и синтеза 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lastRenderedPageBreak/>
              <w:t>у дошкольников с речевыми нарушениями посредством наглядного моделирования»; Карельская Е.А. «Использование символов  в работе над звуками». 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u w:val="single"/>
                <w:lang w:eastAsia="ru-RU"/>
              </w:rPr>
              <w:t>Самостоятельно изучала материал на сайтах:</w:t>
            </w:r>
          </w:p>
          <w:p w:rsidR="00884E23" w:rsidRPr="00884E23" w:rsidRDefault="00884E23" w:rsidP="00884E23">
            <w:pPr>
              <w:spacing w:before="28" w:after="0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>Применяла в работе по развитию фонематического восприятия игры и игровые приемы различной направленности: </w:t>
            </w:r>
          </w:p>
          <w:p w:rsidR="00884E23" w:rsidRPr="00884E23" w:rsidRDefault="00884E23" w:rsidP="00884E23">
            <w:pPr>
              <w:spacing w:before="28" w:after="0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>1 блок игр включал только те игры, которые были направлены на развитие у дошкольников умения различать неречевые звуки по способу звучания.</w:t>
            </w:r>
          </w:p>
          <w:p w:rsidR="00884E23" w:rsidRPr="00884E23" w:rsidRDefault="00884E23" w:rsidP="00884E23">
            <w:pPr>
              <w:spacing w:before="28" w:after="0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>2 блок – игры на определение направления звучания.</w:t>
            </w:r>
          </w:p>
          <w:p w:rsidR="00884E23" w:rsidRPr="00884E23" w:rsidRDefault="00884E23" w:rsidP="00884E23">
            <w:pPr>
              <w:spacing w:before="28" w:after="0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>3 блок – игры, направленные на развитие у дошкольников умения различать неречевые звуки по темпу звучания.</w:t>
            </w:r>
          </w:p>
          <w:p w:rsidR="00884E23" w:rsidRPr="00884E23" w:rsidRDefault="00884E23" w:rsidP="00884E23">
            <w:pPr>
              <w:spacing w:before="28" w:after="0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>4 блок – игры, направленные на развитие у дошкольников умения различать неречевые звуки по силе звучания.</w:t>
            </w:r>
          </w:p>
          <w:p w:rsidR="00884E23" w:rsidRPr="00884E23" w:rsidRDefault="00884E23" w:rsidP="00884E23">
            <w:pPr>
              <w:spacing w:before="28" w:after="0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>5 блок – игры, направленные на развитие у дошкольников умения определять одинаково звучащие неречевые звуки.</w:t>
            </w:r>
          </w:p>
          <w:p w:rsidR="00884E23" w:rsidRPr="00884E23" w:rsidRDefault="00884E23" w:rsidP="00884E23">
            <w:pPr>
              <w:spacing w:before="28" w:after="0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>6 блок – игры, направленные на развитие у дошкольников умения различать неречевые звуки по высоте звучания.</w:t>
            </w:r>
          </w:p>
          <w:p w:rsidR="00884E23" w:rsidRPr="00884E23" w:rsidRDefault="00884E23" w:rsidP="00884E23">
            <w:pPr>
              <w:spacing w:before="28" w:after="0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>7 блок – игры, направленные на развитие у дошкольников умения различать неречевые звуки по длительности звучания.</w:t>
            </w:r>
          </w:p>
          <w:p w:rsidR="00884E23" w:rsidRPr="00884E23" w:rsidRDefault="00884E23" w:rsidP="00884E23">
            <w:pPr>
              <w:spacing w:before="28" w:after="0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>Основными методами развития слухового восприятия стали:</w:t>
            </w:r>
          </w:p>
          <w:p w:rsidR="00884E23" w:rsidRPr="00884E23" w:rsidRDefault="00884E23" w:rsidP="00884E23">
            <w:pPr>
              <w:spacing w:after="0" w:line="240" w:lineRule="auto"/>
              <w:ind w:left="495" w:hanging="360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Symbol" w:eastAsia="Times New Roman" w:hAnsi="Symbol" w:cs="Times New Roman"/>
                <w:color w:val="404040" w:themeColor="text1" w:themeTint="BF"/>
                <w:sz w:val="20"/>
                <w:szCs w:val="20"/>
                <w:lang w:eastAsia="ru-RU"/>
              </w:rPr>
              <w:t>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14"/>
                <w:szCs w:val="14"/>
                <w:lang w:eastAsia="ru-RU"/>
              </w:rPr>
              <w:t>         </w:t>
            </w:r>
            <w:proofErr w:type="gramStart"/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Практический</w:t>
            </w:r>
            <w:proofErr w:type="gramEnd"/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 xml:space="preserve"> – дидактические игры. Игровой метод предполагает использование различных компонентов игровой деятельности в сочетании с другими приемами: показом, пояснением, указанием, вопросами.</w:t>
            </w:r>
          </w:p>
          <w:p w:rsidR="00884E23" w:rsidRPr="00884E23" w:rsidRDefault="00884E23" w:rsidP="00884E23">
            <w:pPr>
              <w:spacing w:after="0" w:line="240" w:lineRule="auto"/>
              <w:ind w:left="495" w:hanging="360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Symbol" w:eastAsia="Times New Roman" w:hAnsi="Symbol" w:cs="Times New Roman"/>
                <w:color w:val="404040" w:themeColor="text1" w:themeTint="BF"/>
                <w:sz w:val="20"/>
                <w:szCs w:val="20"/>
                <w:lang w:eastAsia="ru-RU"/>
              </w:rPr>
              <w:t>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14"/>
                <w:szCs w:val="14"/>
                <w:lang w:eastAsia="ru-RU"/>
              </w:rPr>
              <w:t>         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Наглядный – наблюдение, рассматривание картинок, игрушек, а также показ образца выполнения задания.</w:t>
            </w:r>
          </w:p>
          <w:p w:rsidR="00884E23" w:rsidRPr="00884E23" w:rsidRDefault="00884E23" w:rsidP="00884E23">
            <w:pPr>
              <w:spacing w:after="0" w:line="240" w:lineRule="auto"/>
              <w:ind w:left="495" w:hanging="360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Symbol" w:eastAsia="Times New Roman" w:hAnsi="Symbol" w:cs="Times New Roman"/>
                <w:color w:val="404040" w:themeColor="text1" w:themeTint="BF"/>
                <w:sz w:val="20"/>
                <w:szCs w:val="20"/>
                <w:lang w:eastAsia="ru-RU"/>
              </w:rPr>
              <w:t>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14"/>
                <w:szCs w:val="14"/>
                <w:lang w:eastAsia="ru-RU"/>
              </w:rPr>
              <w:t>         </w:t>
            </w: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Словесный метод – пояснение, объяснение того, как следует выполнять задание.</w:t>
            </w:r>
          </w:p>
          <w:p w:rsidR="00884E23" w:rsidRPr="00884E23" w:rsidRDefault="00884E23" w:rsidP="00884E23">
            <w:pPr>
              <w:spacing w:before="28" w:after="0" w:line="240" w:lineRule="auto"/>
              <w:ind w:firstLine="426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>Во время проведения игр использовались: музыкальные игрушки, коробочки, наполненные различными крупами, различные бытовые предметы (целлофановые пакеты, застежки-молнии) и т.п.</w:t>
            </w:r>
          </w:p>
          <w:p w:rsidR="00884E23" w:rsidRPr="00884E23" w:rsidRDefault="00884E23" w:rsidP="00884E23">
            <w:pPr>
              <w:spacing w:before="28" w:after="0" w:line="240" w:lineRule="auto"/>
              <w:ind w:firstLine="426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 xml:space="preserve">В основу разработок игр и игровых упражнений было положено методическое пособие Лукина Н.А., </w:t>
            </w:r>
            <w:proofErr w:type="spellStart"/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>Никкенен</w:t>
            </w:r>
            <w:proofErr w:type="spellEnd"/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 xml:space="preserve"> И.И. «Научи меня слышать</w:t>
            </w:r>
            <w:proofErr w:type="gramStart"/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>»(</w:t>
            </w:r>
            <w:proofErr w:type="gramEnd"/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>Развитие слухового восприятия, внимания и памяти).</w:t>
            </w:r>
          </w:p>
          <w:p w:rsidR="00884E23" w:rsidRPr="00884E23" w:rsidRDefault="00884E23" w:rsidP="00884E23">
            <w:pPr>
              <w:spacing w:before="28"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32"/>
                <w:szCs w:val="32"/>
                <w:lang w:eastAsia="ru-RU"/>
              </w:rPr>
            </w:pPr>
            <w:r w:rsidRPr="00884E23">
              <w:rPr>
                <w:rFonts w:ascii="Times New Roman" w:eastAsia="Times New Roman" w:hAnsi="Times New Roman" w:cs="Times New Roman"/>
                <w:color w:val="404040" w:themeColor="text1" w:themeTint="BF"/>
                <w:sz w:val="28"/>
                <w:szCs w:val="28"/>
                <w:lang w:eastAsia="ru-RU"/>
              </w:rPr>
              <w:t> </w:t>
            </w:r>
          </w:p>
          <w:p w:rsidR="00884E23" w:rsidRPr="00884E23" w:rsidRDefault="00884E23" w:rsidP="00884E23">
            <w:pPr>
              <w:spacing w:before="28" w:after="28" w:line="240" w:lineRule="auto"/>
              <w:jc w:val="center"/>
              <w:rPr>
                <w:rFonts w:ascii="Verdana" w:eastAsia="Times New Roman" w:hAnsi="Verdana" w:cs="Times New Roman"/>
                <w:color w:val="404040" w:themeColor="text1" w:themeTint="BF"/>
                <w:sz w:val="20"/>
                <w:szCs w:val="20"/>
                <w:lang w:eastAsia="ru-RU"/>
              </w:rPr>
            </w:pPr>
            <w:r w:rsidRPr="00884E23">
              <w:rPr>
                <w:rFonts w:ascii="Verdana" w:eastAsia="Times New Roman" w:hAnsi="Verdana" w:cs="Times New Roman"/>
                <w:color w:val="404040" w:themeColor="text1" w:themeTint="B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E23" w:rsidRPr="00884E23" w:rsidRDefault="00884E23" w:rsidP="00884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20"/>
                <w:szCs w:val="20"/>
                <w:lang w:eastAsia="ru-RU"/>
              </w:rPr>
            </w:pPr>
          </w:p>
        </w:tc>
      </w:tr>
    </w:tbl>
    <w:p w:rsidR="009B23BD" w:rsidRPr="00884E23" w:rsidRDefault="009B23BD" w:rsidP="00884E23">
      <w:pPr>
        <w:rPr>
          <w:color w:val="404040" w:themeColor="text1" w:themeTint="BF"/>
        </w:rPr>
      </w:pPr>
    </w:p>
    <w:sectPr w:rsidR="009B23BD" w:rsidRPr="00884E23" w:rsidSect="009B2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84E23"/>
    <w:rsid w:val="00884E23"/>
    <w:rsid w:val="009B2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3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4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4E23"/>
    <w:rPr>
      <w:b/>
      <w:bCs/>
    </w:rPr>
  </w:style>
  <w:style w:type="paragraph" w:styleId="a5">
    <w:name w:val="No Spacing"/>
    <w:basedOn w:val="a"/>
    <w:uiPriority w:val="1"/>
    <w:qFormat/>
    <w:rsid w:val="00884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84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84E2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9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1007</Words>
  <Characters>5745</Characters>
  <Application>Microsoft Office Word</Application>
  <DocSecurity>0</DocSecurity>
  <Lines>47</Lines>
  <Paragraphs>13</Paragraphs>
  <ScaleCrop>false</ScaleCrop>
  <Company>Microsoft</Company>
  <LinksUpToDate>false</LinksUpToDate>
  <CharactersWithSpaces>6739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2019-06-18T12:43:00Z</dcterms:created>
  <dcterms:modified xsi:type="dcterms:W3CDTF">2019-06-18T12:46:00Z</dcterms:modified>
</cp:coreProperties>
</file>