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F1674" w:rsidRDefault="00C26A09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Интеграция студентов в межкультурную коммуникацию в парадигме современного образования</w:t>
      </w:r>
    </w:p>
    <w:p w14:paraId="00000002" w14:textId="77777777" w:rsidR="003F1674" w:rsidRDefault="00C26A0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Аннотация </w:t>
      </w:r>
    </w:p>
    <w:p w14:paraId="00000003" w14:textId="77777777" w:rsidR="003F1674" w:rsidRDefault="00C26A0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Статья посвящена проблеме адаптации иностранных студентов к обучению в многопрофильном вузе. В статье приводятся теоретические аспекты проблем, а также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наиболее распространенные типы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бихевиористского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 проявления.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Кроме того, в работе подробно изложены области проблем, с которыми сталкиваются иностранные учащиеся, а именно лингвистические, этнокультурные, проблемы безопасности и финансов, а также проблемы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профессиональной самореализации. Также в статье предлагаются возможные пути преодоления вышеперечисленных проблем. </w:t>
      </w:r>
    </w:p>
    <w:p w14:paraId="00000004" w14:textId="77777777" w:rsidR="003F1674" w:rsidRDefault="00C26A0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высшее образование, адаптация, иностранные студенты, педагогическое сопровождение.</w:t>
      </w:r>
    </w:p>
    <w:p w14:paraId="00000005" w14:textId="77777777" w:rsidR="003F1674" w:rsidRPr="00C26A09" w:rsidRDefault="00C26A0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C26A0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Abstract </w:t>
      </w:r>
    </w:p>
    <w:p w14:paraId="00000006" w14:textId="77777777" w:rsidR="003F1674" w:rsidRPr="00C26A09" w:rsidRDefault="00C26A0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article is devoted to the p</w:t>
      </w:r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roblem of adaptation of foreign students to study at a multidisciplinary university. The article presents the theoretical aspects of the problems, as well as the most common types of behavioral manifestations. In addition, the work details the areas of pro</w:t>
      </w:r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blems faced by foreign students, namely linguistic, ethno-cultural, security and financial problems, as well as problems of professional self-realization. The article also suggests possible ways to overcome the above problems.</w:t>
      </w:r>
    </w:p>
    <w:p w14:paraId="00000007" w14:textId="77777777" w:rsidR="003F1674" w:rsidRPr="00C26A09" w:rsidRDefault="00C26A0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C26A0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Key words</w:t>
      </w: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higher education, </w:t>
      </w:r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adaptation, foreign students, </w:t>
      </w:r>
      <w:proofErr w:type="gramStart"/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pedagogical  support</w:t>
      </w:r>
      <w:proofErr w:type="gramEnd"/>
      <w:r w:rsidRPr="00C26A0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14:paraId="00000008" w14:textId="77777777" w:rsidR="003F1674" w:rsidRPr="00C26A09" w:rsidRDefault="003F167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0000009" w14:textId="77777777" w:rsidR="003F1674" w:rsidRPr="00C26A09" w:rsidRDefault="003F1674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val="en-US"/>
        </w:rPr>
      </w:pPr>
    </w:p>
    <w:p w14:paraId="0000000A" w14:textId="77777777" w:rsidR="003F1674" w:rsidRPr="00C26A09" w:rsidRDefault="00C26A09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C26A09">
        <w:rPr>
          <w:lang w:val="en-US"/>
        </w:rPr>
        <w:br w:type="page"/>
      </w:r>
    </w:p>
    <w:p w14:paraId="0000000B" w14:textId="77777777" w:rsidR="003F1674" w:rsidRPr="00C26A09" w:rsidRDefault="003F1674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5F5F5"/>
          <w:lang w:val="en-US"/>
        </w:rPr>
      </w:pPr>
    </w:p>
    <w:p w14:paraId="0000000C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Получение иностранными гражданами высшего образования в российских вузах рассматривается как одна из приоритетных задач государственной политики РФ. По итогам 2022 года Россия заняла шестое место в мире по количеству иностранных студентов [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]. Иностранный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контингент обучающихся в вузах России способствует интеграции отечественных школ в мировое интеллектуальное сообщество и, как следствие, благоприятствует развитию науки и техники. </w:t>
      </w:r>
    </w:p>
    <w:p w14:paraId="0000000D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Несмотря на многолетний опыт профессиональной подготовки иностранных студе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нтов в советский период [</w:t>
      </w:r>
      <w:r>
        <w:rPr>
          <w:rFonts w:ascii="Times New Roman" w:eastAsia="Times New Roman" w:hAnsi="Times New Roman" w:cs="Times New Roman"/>
          <w:sz w:val="28"/>
          <w:szCs w:val="28"/>
        </w:rPr>
        <w:t>1,2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], проблема повышения эффективности обучения в российской высшей школе особенно применительно к многопрофильным вузам до сих пор остается одной из актуальных в сфере современного международного образования [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].  В качестве отде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льных аспектов данной проблемы можно выделить следующие:</w:t>
      </w:r>
    </w:p>
    <w:p w14:paraId="0000000E" w14:textId="77777777" w:rsidR="003F1674" w:rsidRDefault="00C26A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организация образовательного процесса (осуществление “логистического” управления) [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];</w:t>
      </w:r>
    </w:p>
    <w:p w14:paraId="0000000F" w14:textId="77777777" w:rsidR="003F1674" w:rsidRDefault="00C26A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организация обучения (выбор адекватных форм и методов, в т.ч. РКИ) [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];</w:t>
      </w:r>
    </w:p>
    <w:p w14:paraId="00000010" w14:textId="77777777" w:rsidR="003F1674" w:rsidRDefault="00C26A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сопровождение образовательного процесса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(социальная адаптация, удовлетворение культурных и бытовых потребностей, решение и предотвращение межнациональных конфликтов и т.д.) [</w:t>
      </w:r>
      <w:r>
        <w:rPr>
          <w:rFonts w:ascii="Times New Roman" w:eastAsia="Times New Roman" w:hAnsi="Times New Roman" w:cs="Times New Roman"/>
          <w:sz w:val="28"/>
          <w:szCs w:val="28"/>
        </w:rPr>
        <w:t>6,9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].</w:t>
      </w:r>
    </w:p>
    <w:p w14:paraId="00000011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Ключевым фактором, определяющим успешное решение указанных проблем, является мотивация иностранных обучающихся. Иссл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едователи [</w:t>
      </w:r>
      <w:r>
        <w:rPr>
          <w:rFonts w:ascii="Times New Roman" w:eastAsia="Times New Roman" w:hAnsi="Times New Roman" w:cs="Times New Roman"/>
          <w:sz w:val="28"/>
          <w:szCs w:val="28"/>
        </w:rPr>
        <w:t>3,5,8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] выделяют наиболее распространенные типы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бихевиористского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проявления, отражающие различные способы мотивации к обучению у иностранных студентов:</w:t>
      </w:r>
    </w:p>
    <w:p w14:paraId="00000012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Первый тип.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Студент нацелен только на получение диплома, что обеспечит ему особое положение 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обществе родной страны, и, как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следствие, престиж, социальную защищенность, материальную независимость и востребованность как специалиста. Мы определяем степень мотивации данного контингента иностранных студентов как достаточно высокую, но лишенную инициат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ивы для учебной деятельности. </w:t>
      </w:r>
    </w:p>
    <w:p w14:paraId="00000013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Второй тип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имеет иную мотивационную направленность. Такие студенты знают, достаточно много о своей будущей профессии еще до поступления и заинтересованы в обучении и приобретении знаний. Учебные дисциплины они делят на “нужны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е”, которые необходимо изучать будущим специалистам и “не нужные”, которые успешно ими игнорируются, вследствие чего успеваемость снижается. Во внеучебной деятельности такие студенты не участвуют. У них небольшой круг общения и среди их друзей в основном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усские студенты их направления, которые могут помочь разобраться в сложных темах своего направления на иностранном для них языке. Поэтому уровень коммуникативной компетенции и владения русским языком у таких студентов достаточно высокий. </w:t>
      </w:r>
    </w:p>
    <w:p w14:paraId="00000014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Третий тип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студен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тов заинтересован в становлении дипломированными специалистами. У них хорошая успеваемость, они активно участвуют во внеучебной жизни вуза, выступают на научных конференциях, посещают дополнительные занятия. Иностранные студенты этого типа хорошо понимают,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экспертность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своей сфере поможет им приобрести материальную независимость и достойное положение в обществе в своей родной стране. </w:t>
      </w:r>
    </w:p>
    <w:p w14:paraId="00000015" w14:textId="77777777" w:rsidR="003F1674" w:rsidRDefault="00C26A09">
      <w:pPr>
        <w:spacing w:line="36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Четвертый тип,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напротив, не заинтересован в получении диплома и приобретении необходимых для будущей профессии знаний.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Таким студентам не нравится их будущая специальность, потому что выбор за них был сделан их родителями или родственниками. Они недисциплинированны и не активны. </w:t>
      </w:r>
    </w:p>
    <w:p w14:paraId="00000016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Таким образом, необходимо понимать внутреннюю мотивацию студентов, чтобы сформировать благопр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иятные условия для обучения. </w:t>
      </w:r>
    </w:p>
    <w:p w14:paraId="00000017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Также, считаем необходимым отметить, что иностранным студентам, которые хотят проходить обучение в России, прежде всего крайне необходимо овладеть русским языком и основными дисциплинами, </w:t>
      </w:r>
      <w:r w:rsidRPr="00C26A09">
        <w:rPr>
          <w:rFonts w:ascii="Times New Roman" w:eastAsia="Times New Roman" w:hAnsi="Times New Roman" w:cs="Times New Roman"/>
          <w:sz w:val="28"/>
          <w:szCs w:val="28"/>
          <w:highlight w:val="white"/>
        </w:rPr>
        <w:t>необходимыми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для успешного обучения их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будущей сп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ециальности. Такой довузовский этап обучения - подготовительный факультет, обеспечивает качественную подготовку студентов к учебе и помогает студентам адаптироваться к новой для них среде. Наши исследования показали, что студенты, пропустившие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ышеупомянутый этап обучения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сложнее адаптируются, имеют низкую успеваемость и только 35% из них удается получить диплом. </w:t>
      </w:r>
    </w:p>
    <w:p w14:paraId="00000018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Процесс обучения на Родине иностранных студентов имеет свои особенности, что затрудняет адаптацию студентов, поэтому преподавателям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обходимо разрабатывать курс лекций и практических занятий с использований подходов и методов обучения, направленных на получение знаний, умений и навыков иностранных студентов, с учетом 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лингвокультурных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особенностей. </w:t>
      </w:r>
    </w:p>
    <w:p w14:paraId="00000019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 этого, в качестве практической части исследования нами был проведен опрос среди иностранных студентов 1 курса. Всего было опрошено семь групп, в каждой и которых обучаются примерно 15 студентов. Исследования показали следующее. </w:t>
      </w:r>
    </w:p>
    <w:p w14:paraId="0000001A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области лингвис</w:t>
      </w:r>
      <w:r>
        <w:rPr>
          <w:rFonts w:ascii="Times New Roman" w:eastAsia="Times New Roman" w:hAnsi="Times New Roman" w:cs="Times New Roman"/>
          <w:sz w:val="28"/>
          <w:szCs w:val="28"/>
        </w:rPr>
        <w:t>тических проблем 40% опрошенных ответили, что им сложно изучать язык выбранной ими специальности. 30% респондентов заявили, что не всегда понимают, что говорит преподаватель. Остальные опрошенные ответили, что языкового барьера не возникает либо проблем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т. </w:t>
      </w:r>
    </w:p>
    <w:p w14:paraId="0000001B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лингвистических проблем мы также исследовали, какие затруднения возникают у иностранных учащихся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этнокультурной  сфере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Как ответило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40% участников опроса, им трудно привыкнуть к местной культуре. Подобный результат наталкивает на вывод, что пе</w:t>
      </w:r>
      <w:r>
        <w:rPr>
          <w:rFonts w:ascii="Times New Roman" w:eastAsia="Times New Roman" w:hAnsi="Times New Roman" w:cs="Times New Roman"/>
          <w:sz w:val="28"/>
          <w:szCs w:val="28"/>
        </w:rPr>
        <w:t>дагогам стоит уделить особое внимание культурной адаптации. Также 20 % респондентов ответили, что так или иначе возникают проблемы в общении с русскими студентами, в том числе и в плане языкового барьера. Более того, 10% опрошенных студентов было крайне сл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ожно привыкнуть к русской кухне. </w:t>
      </w:r>
    </w:p>
    <w:p w14:paraId="0000001C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Стоит упомянуть и о результатах исследования в области безопасности, финансов и профессиональной самореализации. На данный момент для большинства все еще актуальна проблема расизма. Достаточно высокую цифру мы можем наблюд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ать касательно сферы занятости. 70% респондентов ответили, что им сложно получить работу, связанную со знанием русского языка. </w:t>
      </w:r>
    </w:p>
    <w:p w14:paraId="0000001D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студентам было предложено дать развернутый ответ на вопрос, как как можно улучшить работу педагогов с иностранными студент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ами. По мнению учащихся, педагогам стоит больше общаться со студентами. Кроме того, студенты переводческого отделения хотели бы увеличить количество общения на английском языке. </w:t>
      </w:r>
    </w:p>
    <w:p w14:paraId="0000001E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 студентов, участвовавших в опросе, примерно 20% мы относим к первому типу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способу мотивации и проявления в процессе обучения, 40% - ко второму, 30% - к 3 типу и 10% - к четвертому. </w:t>
      </w:r>
    </w:p>
    <w:p w14:paraId="0000001F" w14:textId="77777777" w:rsidR="003F1674" w:rsidRDefault="00C26A0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Таким образом, проведенные нами исследования позволили </w:t>
      </w:r>
      <w:r>
        <w:rPr>
          <w:rFonts w:ascii="Times New Roman" w:eastAsia="Times New Roman" w:hAnsi="Times New Roman" w:cs="Times New Roman"/>
          <w:sz w:val="28"/>
          <w:szCs w:val="28"/>
        </w:rPr>
        <w:t>сделать следующие выводы:</w:t>
      </w:r>
    </w:p>
    <w:p w14:paraId="00000020" w14:textId="77777777" w:rsidR="003F1674" w:rsidRDefault="00C26A0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культурная адаптация иностранных студентов должна быть включена в программу многопрофильного вуза обучения русскому языку;</w:t>
      </w:r>
    </w:p>
    <w:p w14:paraId="00000021" w14:textId="77777777" w:rsidR="003F1674" w:rsidRDefault="00C26A0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 организовывать возможности дополнительной практики общения на русском языке вне учебной программы. Примерами могут быть проведе</w:t>
      </w:r>
      <w:r>
        <w:rPr>
          <w:rFonts w:ascii="Times New Roman" w:eastAsia="Times New Roman" w:hAnsi="Times New Roman" w:cs="Times New Roman"/>
          <w:sz w:val="28"/>
          <w:szCs w:val="28"/>
        </w:rPr>
        <w:t>ние языковых клубов с участием русских студентов, совместные учебные проекты по программе смежных дисциплин и т.д.;</w:t>
      </w:r>
    </w:p>
    <w:p w14:paraId="00000022" w14:textId="77777777" w:rsidR="003F1674" w:rsidRDefault="00C26A0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привлекать русских студентов как для аудиторной языковой практики, так и внеучебной. А также закрепить кураторов из числа студент</w:t>
      </w:r>
      <w:r>
        <w:rPr>
          <w:rFonts w:ascii="Times New Roman" w:eastAsia="Times New Roman" w:hAnsi="Times New Roman" w:cs="Times New Roman"/>
          <w:sz w:val="28"/>
          <w:szCs w:val="28"/>
        </w:rPr>
        <w:t>ов за иностранными учащимися, проживающих в общежитиях;</w:t>
      </w:r>
    </w:p>
    <w:p w14:paraId="00000023" w14:textId="77777777" w:rsidR="003F1674" w:rsidRDefault="00C26A09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контексте педагогического сопровождения 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считаем  необходимым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увеличение количества часов устных дисциплин. </w:t>
      </w:r>
    </w:p>
    <w:p w14:paraId="00000024" w14:textId="77777777" w:rsidR="003F1674" w:rsidRDefault="003F1674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5" w14:textId="77777777" w:rsidR="003F1674" w:rsidRDefault="003F1674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0000026" w14:textId="77777777" w:rsidR="003F1674" w:rsidRDefault="00C26A09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br w:type="page"/>
      </w:r>
    </w:p>
    <w:p w14:paraId="00000027" w14:textId="77777777" w:rsidR="003F1674" w:rsidRDefault="003F1674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00000028" w14:textId="77777777" w:rsidR="003F1674" w:rsidRDefault="003F1674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00000029" w14:textId="77777777" w:rsidR="003F1674" w:rsidRDefault="00C26A09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Литературный список </w:t>
      </w:r>
    </w:p>
    <w:p w14:paraId="0000002A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Заугаров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В.В. Международный опыт использования высшего образ</w:t>
      </w:r>
      <w:r>
        <w:rPr>
          <w:rFonts w:ascii="Times New Roman" w:eastAsia="Times New Roman" w:hAnsi="Times New Roman" w:cs="Times New Roman"/>
          <w:sz w:val="28"/>
          <w:szCs w:val="28"/>
        </w:rPr>
        <w:t>ования как ресурса «мягкой силы» государства. Гуманитарные науки. Вестник Финансового университета. 2018;(6):19–23.</w:t>
      </w:r>
    </w:p>
    <w:p w14:paraId="0000002B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Панин Е.В., Анохина Т.Я. История и особенности обучения иностранных студентов в советских и российских вузах. Вестник Российского университе</w:t>
      </w:r>
      <w:r>
        <w:rPr>
          <w:rFonts w:ascii="Times New Roman" w:eastAsia="Times New Roman" w:hAnsi="Times New Roman" w:cs="Times New Roman"/>
          <w:sz w:val="28"/>
          <w:szCs w:val="28"/>
        </w:rPr>
        <w:t>та дружбы народов. Серия: Теория языка. Семиотика. Семантика. 2014;(4)136–145.</w:t>
      </w:r>
    </w:p>
    <w:p w14:paraId="0000002C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Психологические и психофизиологические особенности студентов / Под ред. Н.М.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Пейсахова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Казань, 1977</w:t>
      </w:r>
    </w:p>
    <w:p w14:paraId="0000002D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Сурыгин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А.И. Педагогическое проектирование образовательной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предву</w:t>
      </w:r>
      <w:r>
        <w:rPr>
          <w:rFonts w:ascii="Times New Roman" w:eastAsia="Times New Roman" w:hAnsi="Times New Roman" w:cs="Times New Roman"/>
          <w:sz w:val="28"/>
          <w:szCs w:val="28"/>
        </w:rPr>
        <w:t>зовской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иностранных студентов. СПб.: Златоуст, 2001. 128 с.</w:t>
      </w:r>
    </w:p>
    <w:p w14:paraId="0000002E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Фомина Т.К. К вопросу об особенностях обучения иностранных студентов в российских вузах // Гуманитарное образование и медицина. Волгоград: ГУ “Издатель”, 2001. С.215-222. </w:t>
      </w:r>
    </w:p>
    <w:p w14:paraId="0000002F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>Brown, Dougla</w:t>
      </w: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 H. Sociocultural factors in teaching language Minority students. // Patricia A. Richard-Amato and Marguerite Ann Snow (Eds.), the Multicultural Classroom: Readings for Content-Area Teachers.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Reading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MA: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Addison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Wesley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Publishing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1991.</w:t>
      </w:r>
    </w:p>
    <w:p w14:paraId="00000030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>Coleman</w:t>
      </w: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Susan. International students in the classroom: A resource and an opportunity.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International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Education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Spring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P. 52-61.</w:t>
      </w:r>
    </w:p>
    <w:p w14:paraId="00000031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>Kleinmann</w:t>
      </w:r>
      <w:proofErr w:type="spellEnd"/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H.H. Avoidance Behavior in adult second language acquisition // Language learning, 1977.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Vol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27</w:t>
      </w:r>
    </w:p>
    <w:p w14:paraId="00000032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A0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Pedersen P.B. Counseling international students // The Counseling Psychologist.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1991.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Vol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19.</w:t>
      </w:r>
    </w:p>
    <w:p w14:paraId="00000033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Официальный сайт Министерства науки и высшего образования Российской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Федерации:[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Электронный ресурс]. URL: </w:t>
      </w:r>
      <w:hyperlink r:id="rId5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https://m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inobrnauki.gov.ru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 (Дата обращения:19.05.2023).</w:t>
      </w:r>
    </w:p>
    <w:p w14:paraId="00000034" w14:textId="77777777" w:rsidR="003F1674" w:rsidRDefault="00C26A09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Официальный сайт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Media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-MIG Все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трудовой миграции [Электронный ресурс]. URL: https://media-mig.ru (Дата обращения:19.05.2023).</w:t>
      </w:r>
    </w:p>
    <w:sectPr w:rsidR="003F167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0049A"/>
    <w:multiLevelType w:val="multilevel"/>
    <w:tmpl w:val="4C2ECF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E522D66"/>
    <w:multiLevelType w:val="multilevel"/>
    <w:tmpl w:val="D51E6B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0644A11"/>
    <w:multiLevelType w:val="multilevel"/>
    <w:tmpl w:val="76CCEA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674"/>
    <w:rsid w:val="003F1674"/>
    <w:rsid w:val="00C2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D7E49-80B5-4989-B659-8471D226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obrnau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8583</Characters>
  <Application>Microsoft Office Word</Application>
  <DocSecurity>0</DocSecurity>
  <Lines>71</Lines>
  <Paragraphs>20</Paragraphs>
  <ScaleCrop>false</ScaleCrop>
  <Company/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3</cp:revision>
  <dcterms:created xsi:type="dcterms:W3CDTF">2023-08-29T17:06:00Z</dcterms:created>
  <dcterms:modified xsi:type="dcterms:W3CDTF">2023-08-29T17:07:00Z</dcterms:modified>
</cp:coreProperties>
</file>