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20" w:before="120"/>
        <w:ind w:firstLine="0" w:left="-484" w:right="225"/>
        <w:rPr>
          <w:strike w:val="0"/>
          <w:color w:val="CAD5DF"/>
          <w:u w:color="000000" w:val="single"/>
          <w:shd w:fill="000000" w:val="clear"/>
        </w:rPr>
      </w:pPr>
    </w:p>
    <w:p w14:paraId="02000000">
      <w:pPr>
        <w:spacing w:after="120" w:before="0"/>
        <w:ind w:firstLine="0" w:left="0" w:right="0"/>
        <w:rPr>
          <w:rFonts w:ascii="XO Thames" w:hAnsi="XO Thames"/>
          <w:b w:val="1"/>
          <w:color w:val="1E4E70"/>
          <w:sz w:val="39"/>
          <w:highlight w:val="white"/>
        </w:rPr>
      </w:pPr>
      <w:r>
        <w:rPr>
          <w:rFonts w:ascii="XO Thames" w:hAnsi="XO Thames"/>
          <w:b w:val="1"/>
          <w:color w:val="1E4E70"/>
          <w:sz w:val="39"/>
          <w:highlight w:val="white"/>
        </w:rPr>
        <w:t>Электронные информационно-образовательные ресурсы как средство изучения математики</w:t>
      </w:r>
    </w:p>
    <w:p w14:paraId="03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Я работаю учителем математики в экспериментальном классе, где с 2012-2013 учебного года реализуются ФГОС ООО. Я считаю актуальным использовать при внедрении ФГОС второго поколения интерактивные методы обучения.</w:t>
      </w:r>
    </w:p>
    <w:p w14:paraId="04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Сущность интерактивного обучения заключается в том, что учитель организует познавательно – учебную деятельность обучающегося таким образом, что ученик, опираясь на свои потенциальные возможности и уже полученные знания, самостоятельно разрешает определённые ситуации, проблемы в процессе взаимодействия различного рода. И одним из важнейших взаимодействий является именно взаимодействие «ученик – информация».</w:t>
      </w:r>
    </w:p>
    <w:p w14:paraId="05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В современном информационном  мире уже трудно представить себе сферу деятельности, которая не требовала бы уверенного владения ИКТ.</w:t>
      </w:r>
    </w:p>
    <w:p w14:paraId="06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Дети и, к сожалению, большинство родителей, видят в компьютере только игрушку и на этом уровне превосходно владеют им. Большинству и в голову не приходит, что компьютер можно использовать в качестве инструмента, позволяющего научить школьника ставить и решать познавательные проблемы, а для этого необходимо находить, перерабатывать, использовать и создавать информацию, ориентироваться в информационном пространстве.</w:t>
      </w:r>
    </w:p>
    <w:p w14:paraId="07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Поэтому одной из важнейших задач педагога является следующая:</w:t>
      </w:r>
    </w:p>
    <w:p w14:paraId="08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- показать учащимся и их родителям, как можно использовать компьютер в процессе обучения, и что этот процесс не менее увлекателен, как и игровой.</w:t>
      </w:r>
    </w:p>
    <w:p w14:paraId="09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На сегодняшний день я активно использую в своей педагогической деятельности модули, разработанные и предложенные федеральным центром информационно-образовательных ресурсов (</w:t>
      </w: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  <w:u w:color="000000" w:val="single"/>
        </w:rPr>
        <w:t>http://fcior.edu.ru/</w:t>
      </w: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):</w:t>
      </w:r>
    </w:p>
    <w:p w14:paraId="0A000000">
      <w:pPr>
        <w:numPr>
          <w:ilvl w:val="0"/>
          <w:numId w:val="1"/>
        </w:numPr>
        <w:spacing w:after="75" w:before="75"/>
        <w:ind w:firstLine="0" w:left="0" w:right="0"/>
        <w:jc w:val="left"/>
        <w:rPr>
          <w:rFonts w:ascii="PT Sans" w:hAnsi="PT Sans"/>
          <w:b w:val="0"/>
          <w:i w:val="0"/>
          <w:caps w:val="0"/>
          <w:color w:val="767676"/>
          <w:spacing w:val="0"/>
          <w:sz w:val="22"/>
          <w:highlight w:val="white"/>
        </w:rPr>
      </w:pPr>
    </w:p>
    <w:p w14:paraId="0B000000">
      <w:pPr>
        <w:numPr>
          <w:ilvl w:val="0"/>
          <w:numId w:val="1"/>
        </w:num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Информационные модули – для объяснения нового материала на уроках, а также для самостоятельного изучения темы, пропущенной учеником;</w:t>
      </w:r>
    </w:p>
    <w:p w14:paraId="0C000000">
      <w:pPr>
        <w:numPr>
          <w:ilvl w:val="0"/>
          <w:numId w:val="1"/>
        </w:numPr>
        <w:spacing w:after="75" w:before="75"/>
        <w:ind w:firstLine="0" w:left="0" w:right="0"/>
        <w:jc w:val="left"/>
        <w:rPr>
          <w:rFonts w:ascii="PT Sans" w:hAnsi="PT Sans"/>
          <w:b w:val="0"/>
          <w:i w:val="0"/>
          <w:caps w:val="0"/>
          <w:color w:val="767676"/>
          <w:spacing w:val="0"/>
          <w:sz w:val="22"/>
          <w:highlight w:val="white"/>
        </w:rPr>
      </w:pPr>
    </w:p>
    <w:p w14:paraId="0D000000">
      <w:pPr>
        <w:numPr>
          <w:ilvl w:val="0"/>
          <w:numId w:val="1"/>
        </w:num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Практические модули – для закрепления изученного материала и самостоятельной работы дома;</w:t>
      </w:r>
    </w:p>
    <w:p w14:paraId="0E000000">
      <w:pPr>
        <w:numPr>
          <w:ilvl w:val="0"/>
          <w:numId w:val="1"/>
        </w:numPr>
        <w:spacing w:after="75" w:before="75"/>
        <w:ind w:firstLine="0" w:left="0" w:right="0"/>
        <w:jc w:val="left"/>
        <w:rPr>
          <w:rFonts w:ascii="PT Sans" w:hAnsi="PT Sans"/>
          <w:b w:val="0"/>
          <w:i w:val="0"/>
          <w:caps w:val="0"/>
          <w:color w:val="767676"/>
          <w:spacing w:val="0"/>
          <w:sz w:val="22"/>
          <w:highlight w:val="white"/>
        </w:rPr>
      </w:pPr>
    </w:p>
    <w:p w14:paraId="0F000000">
      <w:pPr>
        <w:numPr>
          <w:ilvl w:val="0"/>
          <w:numId w:val="1"/>
        </w:num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Контрольные модули – для повторения и коррекции знаний учащихся, а также для самостоятельной подготовки учащихся к диагностическим работам.</w:t>
      </w:r>
    </w:p>
    <w:p w14:paraId="10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Кроме того, я использую в работе презентации, созданные мной и учащимися.</w:t>
      </w:r>
    </w:p>
    <w:p w14:paraId="11000000">
      <w:pPr>
        <w:spacing w:after="150" w:before="0"/>
        <w:ind w:firstLine="0" w:left="0" w:right="0"/>
        <w:jc w:val="both"/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PT Sans" w:hAnsi="PT Sans"/>
          <w:b w:val="0"/>
          <w:i w:val="0"/>
          <w:caps w:val="0"/>
          <w:color w:val="000000"/>
          <w:spacing w:val="0"/>
          <w:sz w:val="21"/>
          <w:highlight w:val="white"/>
        </w:rPr>
        <w:t>Такая система работы позволит выйти на путь к новому качеству образования, учить детей по новому, а педагогу качественней с наименьшими затратами времени подготовиться к уроку и его провести.</w:t>
      </w:r>
    </w:p>
    <w:p w14:paraId="12000000">
      <w:pPr>
        <w:spacing w:after="0" w:before="0"/>
        <w:ind w:firstLine="0" w:left="0" w:right="0"/>
        <w:rPr>
          <w:sz w:val="22"/>
          <w:highlight w:val="white"/>
        </w:rPr>
      </w:pPr>
      <w:r>
        <w:br/>
      </w:r>
    </w:p>
    <w:p w14:paraId="13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7" Target="numbering.xml" Type="http://schemas.openxmlformats.org/officeDocument/2006/relationships/numbering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  <Relationship Id="rId1" Target="fontTable.xml" Type="http://schemas.openxmlformats.org/officeDocument/2006/relationships/fontTable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MyOffice-CoreFramework-Android/31-1191.801.8978.819.1@3a1110cd217cfef7bfaea0d80df387ac68f3aaa9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2024-01-07T19:14:02Z</dcterms:modified>
</cp:coreProperties>
</file>