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6BA" w:rsidRPr="001D5B20" w:rsidRDefault="007756BA" w:rsidP="007756B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GoBack"/>
      <w:r w:rsidRPr="001D5B2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От учебного задания к научной публикации: опыт интеграции английского языка и исследовательской деятельности</w:t>
      </w:r>
    </w:p>
    <w:bookmarkEnd w:id="0"/>
    <w:p w:rsidR="00E67344" w:rsidRDefault="00E67344" w:rsidP="001D5B2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7344">
        <w:rPr>
          <w:rFonts w:ascii="Times New Roman" w:hAnsi="Times New Roman" w:cs="Times New Roman"/>
          <w:sz w:val="28"/>
          <w:szCs w:val="28"/>
        </w:rPr>
        <w:t xml:space="preserve">В.С. Джабраилова, </w:t>
      </w:r>
    </w:p>
    <w:p w:rsidR="00E67344" w:rsidRDefault="00E67344" w:rsidP="001D5B2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7344">
        <w:rPr>
          <w:rFonts w:ascii="Times New Roman" w:hAnsi="Times New Roman" w:cs="Times New Roman"/>
          <w:sz w:val="28"/>
          <w:szCs w:val="28"/>
        </w:rPr>
        <w:t xml:space="preserve">канд. </w:t>
      </w:r>
      <w:proofErr w:type="spellStart"/>
      <w:r w:rsidRPr="00E67344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E67344">
        <w:rPr>
          <w:rFonts w:ascii="Times New Roman" w:hAnsi="Times New Roman" w:cs="Times New Roman"/>
          <w:sz w:val="28"/>
          <w:szCs w:val="28"/>
        </w:rPr>
        <w:t xml:space="preserve">. наук, доц., доцент </w:t>
      </w:r>
      <w:r>
        <w:rPr>
          <w:rFonts w:ascii="Times New Roman" w:hAnsi="Times New Roman" w:cs="Times New Roman"/>
          <w:sz w:val="28"/>
          <w:szCs w:val="28"/>
        </w:rPr>
        <w:t xml:space="preserve">Кафедры английского языка и профессиональной коммуникации, </w:t>
      </w:r>
      <w:r w:rsidRPr="00E67344">
        <w:rPr>
          <w:rFonts w:ascii="Times New Roman" w:hAnsi="Times New Roman" w:cs="Times New Roman"/>
          <w:sz w:val="28"/>
          <w:szCs w:val="28"/>
        </w:rPr>
        <w:t>Финансовый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при Правительстве РФ</w:t>
      </w:r>
      <w:r w:rsidRPr="00E6734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2DF6" w:rsidRPr="00E67344" w:rsidRDefault="00E67344" w:rsidP="001D5B2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E67344">
        <w:rPr>
          <w:rFonts w:ascii="Times New Roman" w:hAnsi="Times New Roman" w:cs="Times New Roman"/>
          <w:sz w:val="28"/>
          <w:szCs w:val="28"/>
        </w:rPr>
        <w:t>г</w:t>
      </w:r>
      <w:r w:rsidRPr="00E6734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67344">
        <w:rPr>
          <w:rFonts w:ascii="Times New Roman" w:hAnsi="Times New Roman" w:cs="Times New Roman"/>
          <w:sz w:val="28"/>
          <w:szCs w:val="28"/>
        </w:rPr>
        <w:t>Москва</w:t>
      </w:r>
      <w:r w:rsidRPr="00E67344">
        <w:rPr>
          <w:rFonts w:ascii="Times New Roman" w:hAnsi="Times New Roman" w:cs="Times New Roman"/>
          <w:sz w:val="28"/>
          <w:szCs w:val="28"/>
          <w:lang w:val="en-US"/>
        </w:rPr>
        <w:t>, e-mail VSDzhabrailova@fa.ru</w:t>
      </w:r>
    </w:p>
    <w:p w:rsidR="002125DD" w:rsidRPr="001D5B20" w:rsidRDefault="001D5B20" w:rsidP="007756B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B2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Аннотация: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D5B20">
        <w:rPr>
          <w:rFonts w:ascii="Times New Roman" w:hAnsi="Times New Roman" w:cs="Times New Roman"/>
          <w:sz w:val="28"/>
          <w:szCs w:val="28"/>
        </w:rPr>
        <w:t xml:space="preserve"> статье рассматриваются возможности интеграции языкового образования и исследовательской деятельности в подготовке студентов технических направлений. Акцент сделан на роли преподавателя как медиатора академической социализации, способствующего формированию исследовательской идентичности обучающихся. Анализ опирается на современный подход к научному наставничеству, в рамках которого английский язык выступает не только средством коммуникации, но и когнитивным инструментом включения в академическое сообщество. Подчёркивается значение педагогической поддержки в формировании мотивации к самостоятельной научной работе и освоению основ академического дискурса.</w:t>
      </w:r>
    </w:p>
    <w:p w:rsidR="001D5B20" w:rsidRPr="001D5B20" w:rsidRDefault="001D5B20" w:rsidP="007756B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5B20">
        <w:rPr>
          <w:rFonts w:ascii="Times New Roman" w:hAnsi="Times New Roman" w:cs="Times New Roman"/>
          <w:b/>
          <w:sz w:val="28"/>
          <w:szCs w:val="28"/>
          <w:lang w:eastAsia="ru-RU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068C" w:rsidRPr="0027068C">
        <w:rPr>
          <w:rFonts w:ascii="Times New Roman" w:hAnsi="Times New Roman" w:cs="Times New Roman"/>
          <w:sz w:val="28"/>
          <w:szCs w:val="28"/>
        </w:rPr>
        <w:t xml:space="preserve">исследовательская </w:t>
      </w:r>
      <w:r w:rsidR="002E6442">
        <w:rPr>
          <w:rFonts w:ascii="Times New Roman" w:hAnsi="Times New Roman" w:cs="Times New Roman"/>
          <w:sz w:val="28"/>
          <w:szCs w:val="28"/>
        </w:rPr>
        <w:t>деятельность</w:t>
      </w:r>
      <w:r w:rsidR="0027068C" w:rsidRPr="0027068C">
        <w:rPr>
          <w:rFonts w:ascii="Times New Roman" w:hAnsi="Times New Roman" w:cs="Times New Roman"/>
          <w:sz w:val="28"/>
          <w:szCs w:val="28"/>
        </w:rPr>
        <w:t xml:space="preserve">, научное наставничество, </w:t>
      </w:r>
      <w:r w:rsidR="002E6442" w:rsidRPr="00EB1352">
        <w:rPr>
          <w:rFonts w:ascii="Times New Roman" w:hAnsi="Times New Roman" w:cs="Times New Roman"/>
          <w:sz w:val="28"/>
          <w:szCs w:val="28"/>
        </w:rPr>
        <w:t>индивидуальн</w:t>
      </w:r>
      <w:r w:rsidR="002E6442">
        <w:rPr>
          <w:rFonts w:ascii="Times New Roman" w:hAnsi="Times New Roman" w:cs="Times New Roman"/>
          <w:sz w:val="28"/>
          <w:szCs w:val="28"/>
        </w:rPr>
        <w:t xml:space="preserve">ая исследовательская траектория, </w:t>
      </w:r>
      <w:r w:rsidR="00535FAB">
        <w:rPr>
          <w:rFonts w:ascii="Times New Roman" w:hAnsi="Times New Roman" w:cs="Times New Roman"/>
          <w:sz w:val="28"/>
          <w:szCs w:val="28"/>
        </w:rPr>
        <w:t>английский язык в ВУЗ</w:t>
      </w:r>
      <w:r w:rsidR="0027068C" w:rsidRPr="0027068C">
        <w:rPr>
          <w:rFonts w:ascii="Times New Roman" w:hAnsi="Times New Roman" w:cs="Times New Roman"/>
          <w:sz w:val="28"/>
          <w:szCs w:val="28"/>
        </w:rPr>
        <w:t xml:space="preserve">е, педагогическое сопровождение, </w:t>
      </w:r>
      <w:r w:rsidR="00535FAB">
        <w:rPr>
          <w:rFonts w:ascii="Times New Roman" w:hAnsi="Times New Roman" w:cs="Times New Roman"/>
          <w:sz w:val="28"/>
          <w:szCs w:val="28"/>
        </w:rPr>
        <w:t>неязыковой ВУЗ.</w:t>
      </w:r>
    </w:p>
    <w:p w:rsidR="001D5B20" w:rsidRPr="001D5B20" w:rsidRDefault="001D5B20" w:rsidP="007756B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  <w:r w:rsidRPr="001D5B20">
        <w:rPr>
          <w:rFonts w:ascii="Times New Roman" w:hAnsi="Times New Roman" w:cs="Times New Roman"/>
          <w:b/>
          <w:sz w:val="28"/>
          <w:szCs w:val="28"/>
          <w:lang w:val="en-US" w:eastAsia="ru-RU"/>
        </w:rPr>
        <w:t>Abstract</w:t>
      </w:r>
      <w:r w:rsidRPr="001D5B2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D5B20">
        <w:rPr>
          <w:rFonts w:ascii="Times New Roman" w:hAnsi="Times New Roman" w:cs="Times New Roman"/>
          <w:sz w:val="28"/>
          <w:szCs w:val="28"/>
          <w:lang w:val="en-US"/>
        </w:rPr>
        <w:t xml:space="preserve">The article explores the potential for integrating language education with research activity in the training of students in technical fields. Particular attention </w:t>
      </w:r>
      <w:proofErr w:type="gramStart"/>
      <w:r w:rsidRPr="001D5B20">
        <w:rPr>
          <w:rFonts w:ascii="Times New Roman" w:hAnsi="Times New Roman" w:cs="Times New Roman"/>
          <w:sz w:val="28"/>
          <w:szCs w:val="28"/>
          <w:lang w:val="en-US"/>
        </w:rPr>
        <w:t>is given</w:t>
      </w:r>
      <w:proofErr w:type="gramEnd"/>
      <w:r w:rsidRPr="001D5B20">
        <w:rPr>
          <w:rFonts w:ascii="Times New Roman" w:hAnsi="Times New Roman" w:cs="Times New Roman"/>
          <w:sz w:val="28"/>
          <w:szCs w:val="28"/>
          <w:lang w:val="en-US"/>
        </w:rPr>
        <w:t xml:space="preserve"> to the role of the teacher as a mediator of academic socialization, contributing to the development of students' research identity. The analysis </w:t>
      </w:r>
      <w:proofErr w:type="gramStart"/>
      <w:r w:rsidRPr="001D5B20">
        <w:rPr>
          <w:rFonts w:ascii="Times New Roman" w:hAnsi="Times New Roman" w:cs="Times New Roman"/>
          <w:sz w:val="28"/>
          <w:szCs w:val="28"/>
          <w:lang w:val="en-US"/>
        </w:rPr>
        <w:t>is grounded</w:t>
      </w:r>
      <w:proofErr w:type="gramEnd"/>
      <w:r w:rsidRPr="001D5B20">
        <w:rPr>
          <w:rFonts w:ascii="Times New Roman" w:hAnsi="Times New Roman" w:cs="Times New Roman"/>
          <w:sz w:val="28"/>
          <w:szCs w:val="28"/>
          <w:lang w:val="en-US"/>
        </w:rPr>
        <w:t xml:space="preserve"> in a contemporary approach to academic mentoring, within which English functions not only as a medium of communication but also as a cognitive tool for </w:t>
      </w:r>
      <w:r w:rsidRPr="001D5B20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inclusion into the academic community. The importance of pedagogical support in fostering motivation for independent research and in mastering the foundations of academic discourse </w:t>
      </w:r>
      <w:proofErr w:type="gramStart"/>
      <w:r w:rsidRPr="001D5B20">
        <w:rPr>
          <w:rFonts w:ascii="Times New Roman" w:hAnsi="Times New Roman" w:cs="Times New Roman"/>
          <w:sz w:val="28"/>
          <w:szCs w:val="28"/>
          <w:lang w:val="en-US"/>
        </w:rPr>
        <w:t>is emphasized</w:t>
      </w:r>
      <w:proofErr w:type="gramEnd"/>
      <w:r w:rsidRPr="001D5B2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D5B20" w:rsidRDefault="001D5B20" w:rsidP="007756B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D5B20">
        <w:rPr>
          <w:rFonts w:ascii="Times New Roman" w:hAnsi="Times New Roman" w:cs="Times New Roman"/>
          <w:b/>
          <w:sz w:val="28"/>
          <w:szCs w:val="28"/>
          <w:lang w:val="en-US" w:eastAsia="ru-RU"/>
        </w:rPr>
        <w:t>Keywords</w:t>
      </w:r>
      <w:r w:rsidRPr="0027068C">
        <w:rPr>
          <w:rFonts w:ascii="Times New Roman" w:hAnsi="Times New Roman" w:cs="Times New Roman"/>
          <w:b/>
          <w:sz w:val="28"/>
          <w:szCs w:val="28"/>
          <w:lang w:val="en-US" w:eastAsia="ru-RU"/>
        </w:rPr>
        <w:t>:</w:t>
      </w:r>
      <w:r w:rsidR="0027068C" w:rsidRPr="0027068C">
        <w:rPr>
          <w:rFonts w:ascii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535FAB" w:rsidRPr="00535FAB">
        <w:rPr>
          <w:rFonts w:ascii="Times New Roman" w:hAnsi="Times New Roman" w:cs="Times New Roman"/>
          <w:sz w:val="28"/>
          <w:szCs w:val="28"/>
          <w:lang w:val="en-US"/>
        </w:rPr>
        <w:t>research activity, academic mentoring, individual research trajectory, English language in higher education, pedagogical support, non-linguistic university</w:t>
      </w:r>
      <w:r w:rsidR="00535FAB" w:rsidRPr="00535FA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35FAB" w:rsidRPr="0027068C" w:rsidRDefault="00535FAB" w:rsidP="007756B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3E675B" w:rsidRPr="00EB1352" w:rsidRDefault="007756BA" w:rsidP="00EB135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>В последние годы всё больше внимания в системе высшего образования уделяется интеграции учебной и научной деятельности студентов. Особенно актуальным становится вопрос мотивации студентов технических и экономико-математических направлений к исследовательской деятельности. Важно выстраивать образовательный процесс таким образом, чтобы учебные задания становились отправной точкой для самостоятельных исследований.</w:t>
      </w:r>
    </w:p>
    <w:p w:rsidR="003E675B" w:rsidRPr="00EB1352" w:rsidRDefault="007756BA" w:rsidP="00EB135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>В данной статье представлен опыт проектной работы со студентом факультета информационных технологий и анализа больших данных</w:t>
      </w:r>
      <w:r w:rsidR="003E675B"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урочной деятельности по английскому языку, который, как утверждают широкий круг авторов, </w:t>
      </w:r>
      <w:r w:rsidR="003E675B" w:rsidRPr="00EB1352">
        <w:rPr>
          <w:rFonts w:ascii="Times New Roman" w:hAnsi="Times New Roman" w:cs="Times New Roman"/>
          <w:sz w:val="28"/>
          <w:szCs w:val="28"/>
        </w:rPr>
        <w:t>служит важным средством междисциплинарного общения и доступа к широкому спектру академических ресурсов, что способствует развитию критического мышления и инноваций среди студентов</w:t>
      </w:r>
      <w:r w:rsidR="003E675B" w:rsidRPr="00EB1352">
        <w:rPr>
          <w:rFonts w:ascii="Times New Roman" w:hAnsi="Times New Roman" w:cs="Times New Roman"/>
          <w:sz w:val="28"/>
          <w:szCs w:val="28"/>
        </w:rPr>
        <w:t xml:space="preserve"> [</w:t>
      </w:r>
      <w:r w:rsidR="00D92DF6" w:rsidRPr="00D92DF6">
        <w:rPr>
          <w:rFonts w:ascii="Times New Roman" w:hAnsi="Times New Roman" w:cs="Times New Roman"/>
          <w:sz w:val="28"/>
          <w:szCs w:val="28"/>
        </w:rPr>
        <w:t>7</w:t>
      </w:r>
      <w:r w:rsidR="003E675B" w:rsidRPr="00EB1352">
        <w:rPr>
          <w:rFonts w:ascii="Times New Roman" w:hAnsi="Times New Roman" w:cs="Times New Roman"/>
          <w:sz w:val="28"/>
          <w:szCs w:val="28"/>
        </w:rPr>
        <w:t>]</w:t>
      </w:r>
      <w:r w:rsidR="003E675B" w:rsidRPr="00EB1352">
        <w:rPr>
          <w:rFonts w:ascii="Times New Roman" w:hAnsi="Times New Roman" w:cs="Times New Roman"/>
          <w:sz w:val="28"/>
          <w:szCs w:val="28"/>
        </w:rPr>
        <w:t>.</w:t>
      </w:r>
      <w:r w:rsidR="000C4C10"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6442">
        <w:rPr>
          <w:rFonts w:ascii="Times New Roman" w:hAnsi="Times New Roman" w:cs="Times New Roman"/>
          <w:sz w:val="28"/>
          <w:szCs w:val="28"/>
          <w:lang w:eastAsia="ru-RU"/>
        </w:rPr>
        <w:t>Ш</w:t>
      </w:r>
      <w:r w:rsidR="000C4C10" w:rsidRPr="00EB1352">
        <w:rPr>
          <w:rStyle w:val="relative"/>
          <w:rFonts w:ascii="Times New Roman" w:hAnsi="Times New Roman" w:cs="Times New Roman"/>
          <w:sz w:val="28"/>
          <w:szCs w:val="28"/>
        </w:rPr>
        <w:t>ирокое использование английского языка в научных исследованиях оказывает значительное влияние на студентов в высших учебных заведениях, способствуя развитию их исследовательской культуры и повышению научной продуктивности [</w:t>
      </w:r>
      <w:r w:rsidR="00D92DF6" w:rsidRPr="00D92DF6">
        <w:rPr>
          <w:rStyle w:val="relative"/>
          <w:rFonts w:ascii="Times New Roman" w:hAnsi="Times New Roman" w:cs="Times New Roman"/>
          <w:sz w:val="28"/>
          <w:szCs w:val="28"/>
        </w:rPr>
        <w:t xml:space="preserve">8, </w:t>
      </w:r>
      <w:r w:rsidR="00D92DF6">
        <w:rPr>
          <w:rStyle w:val="relative"/>
          <w:rFonts w:ascii="Times New Roman" w:hAnsi="Times New Roman" w:cs="Times New Roman"/>
          <w:sz w:val="28"/>
          <w:szCs w:val="28"/>
          <w:lang w:val="en-US"/>
        </w:rPr>
        <w:t>c</w:t>
      </w:r>
      <w:r w:rsidR="00D92DF6" w:rsidRPr="00D92DF6">
        <w:rPr>
          <w:rStyle w:val="relative"/>
          <w:rFonts w:ascii="Times New Roman" w:hAnsi="Times New Roman" w:cs="Times New Roman"/>
          <w:sz w:val="28"/>
          <w:szCs w:val="28"/>
        </w:rPr>
        <w:t>.210</w:t>
      </w:r>
      <w:r w:rsidR="000C4C10" w:rsidRPr="00EB1352">
        <w:rPr>
          <w:rStyle w:val="relative"/>
          <w:rFonts w:ascii="Times New Roman" w:hAnsi="Times New Roman" w:cs="Times New Roman"/>
          <w:sz w:val="28"/>
          <w:szCs w:val="28"/>
        </w:rPr>
        <w:t>].</w:t>
      </w:r>
      <w:r w:rsidR="00070119" w:rsidRPr="00EB1352">
        <w:rPr>
          <w:rStyle w:val="relative"/>
          <w:rFonts w:ascii="Times New Roman" w:hAnsi="Times New Roman" w:cs="Times New Roman"/>
          <w:sz w:val="28"/>
          <w:szCs w:val="28"/>
        </w:rPr>
        <w:t xml:space="preserve"> </w:t>
      </w:r>
      <w:r w:rsidR="00070119" w:rsidRPr="00EB1352">
        <w:rPr>
          <w:rStyle w:val="relative"/>
          <w:rFonts w:ascii="Times New Roman" w:hAnsi="Times New Roman" w:cs="Times New Roman"/>
          <w:sz w:val="28"/>
          <w:szCs w:val="28"/>
        </w:rPr>
        <w:t>Английский язык стал глобальным средством научной коммуникации, что подчеркивает его в</w:t>
      </w:r>
      <w:r w:rsidR="00070119" w:rsidRPr="00EB1352">
        <w:rPr>
          <w:rStyle w:val="relative"/>
          <w:rFonts w:ascii="Times New Roman" w:hAnsi="Times New Roman" w:cs="Times New Roman"/>
          <w:sz w:val="28"/>
          <w:szCs w:val="28"/>
        </w:rPr>
        <w:t>ажность в академическом анализе [</w:t>
      </w:r>
      <w:r w:rsidR="00D92DF6" w:rsidRPr="00D92DF6">
        <w:rPr>
          <w:rStyle w:val="relative"/>
          <w:rFonts w:ascii="Times New Roman" w:hAnsi="Times New Roman" w:cs="Times New Roman"/>
          <w:sz w:val="28"/>
          <w:szCs w:val="28"/>
        </w:rPr>
        <w:t>3</w:t>
      </w:r>
      <w:r w:rsidR="00070119" w:rsidRPr="00EB1352">
        <w:rPr>
          <w:rStyle w:val="relative"/>
          <w:rFonts w:ascii="Times New Roman" w:hAnsi="Times New Roman" w:cs="Times New Roman"/>
          <w:sz w:val="28"/>
          <w:szCs w:val="28"/>
        </w:rPr>
        <w:t>]</w:t>
      </w:r>
      <w:r w:rsidR="00070119" w:rsidRPr="00EB1352">
        <w:rPr>
          <w:rStyle w:val="relative"/>
          <w:rFonts w:ascii="Times New Roman" w:hAnsi="Times New Roman" w:cs="Times New Roman"/>
          <w:sz w:val="28"/>
          <w:szCs w:val="28"/>
        </w:rPr>
        <w:t>.</w:t>
      </w:r>
    </w:p>
    <w:p w:rsidR="00070119" w:rsidRPr="00EB1352" w:rsidRDefault="00070119" w:rsidP="00EB135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EB1352">
        <w:rPr>
          <w:sz w:val="28"/>
          <w:szCs w:val="28"/>
        </w:rPr>
        <w:t xml:space="preserve">В процессе изучения английского языка студент последовательно прошёл путь от выполнения учебного задания к подготовке и публикации научной статьи, причём решающую роль в этом процессе сыграло научное сопровождение со стороны преподавателя. Эффективное руководство </w:t>
      </w:r>
      <w:r w:rsidRPr="00EB1352">
        <w:rPr>
          <w:sz w:val="28"/>
          <w:szCs w:val="28"/>
        </w:rPr>
        <w:lastRenderedPageBreak/>
        <w:t xml:space="preserve">студентом в исследовательской деятельности предполагает не только предоставление академической и методической поддержки, но и целенаправленное формирование его исследовательской идентичности, обеспечивающее устойчивую мотивацию к самостоятельному научному поиску. Согласно концептуальной модели Энн Ли, научное наставничество реализуется через пять взаимосвязанных подходов: функциональный, </w:t>
      </w:r>
      <w:proofErr w:type="spellStart"/>
      <w:r w:rsidRPr="00EB1352">
        <w:rPr>
          <w:sz w:val="28"/>
          <w:szCs w:val="28"/>
        </w:rPr>
        <w:t>инкультурационный</w:t>
      </w:r>
      <w:proofErr w:type="spellEnd"/>
      <w:r w:rsidRPr="00EB1352">
        <w:rPr>
          <w:sz w:val="28"/>
          <w:szCs w:val="28"/>
        </w:rPr>
        <w:t xml:space="preserve">, критико-аналитический, </w:t>
      </w:r>
      <w:proofErr w:type="spellStart"/>
      <w:r w:rsidRPr="00EB1352">
        <w:rPr>
          <w:sz w:val="28"/>
          <w:szCs w:val="28"/>
        </w:rPr>
        <w:t>эмансипаторный</w:t>
      </w:r>
      <w:proofErr w:type="spellEnd"/>
      <w:r w:rsidRPr="00EB1352">
        <w:rPr>
          <w:sz w:val="28"/>
          <w:szCs w:val="28"/>
        </w:rPr>
        <w:t xml:space="preserve"> и реляционный, каждый из которых способствует постепенному переходу студента от зависимости к автономии в исследовательской деятельности [</w:t>
      </w:r>
      <w:r w:rsidR="00D92DF6" w:rsidRPr="00D92DF6">
        <w:rPr>
          <w:sz w:val="28"/>
          <w:szCs w:val="28"/>
        </w:rPr>
        <w:t>4</w:t>
      </w:r>
      <w:r w:rsidRPr="00EB1352">
        <w:rPr>
          <w:sz w:val="28"/>
          <w:szCs w:val="28"/>
        </w:rPr>
        <w:t xml:space="preserve">, </w:t>
      </w:r>
      <w:r w:rsidR="00D92DF6">
        <w:rPr>
          <w:sz w:val="28"/>
          <w:szCs w:val="28"/>
          <w:lang w:val="en-US"/>
        </w:rPr>
        <w:t>c</w:t>
      </w:r>
      <w:r w:rsidRPr="00EB1352">
        <w:rPr>
          <w:sz w:val="28"/>
          <w:szCs w:val="28"/>
        </w:rPr>
        <w:t xml:space="preserve">. 270]. В описываемом случае преподаватель не только обеспечил методологическое сопровождение, но и создал условия для включения студента в академическую среду, что позволило последнему выстроить индивидуальную исследовательскую траекторию и завершить её первой публикацией. Как подчёркивают </w:t>
      </w:r>
      <w:proofErr w:type="spellStart"/>
      <w:r w:rsidRPr="00EB1352">
        <w:rPr>
          <w:sz w:val="28"/>
          <w:szCs w:val="28"/>
        </w:rPr>
        <w:t>Шворц</w:t>
      </w:r>
      <w:proofErr w:type="spellEnd"/>
      <w:r w:rsidRPr="00EB1352">
        <w:rPr>
          <w:sz w:val="28"/>
          <w:szCs w:val="28"/>
        </w:rPr>
        <w:t xml:space="preserve"> и соавторы, именно наставничество преподавателя выступает определяющим фактором в развитии у студентов исследовательских компетенций и становлении их как </w:t>
      </w:r>
      <w:r w:rsidRPr="00EB1352">
        <w:rPr>
          <w:sz w:val="28"/>
          <w:szCs w:val="28"/>
        </w:rPr>
        <w:t>участников научного сообщества [</w:t>
      </w:r>
      <w:r w:rsidR="003C27C2" w:rsidRPr="003C27C2">
        <w:rPr>
          <w:sz w:val="28"/>
          <w:szCs w:val="28"/>
        </w:rPr>
        <w:t xml:space="preserve">6, </w:t>
      </w:r>
      <w:r w:rsidR="003C27C2">
        <w:rPr>
          <w:sz w:val="28"/>
          <w:szCs w:val="28"/>
          <w:lang w:val="en-US"/>
        </w:rPr>
        <w:t>c</w:t>
      </w:r>
      <w:r w:rsidR="003C27C2" w:rsidRPr="003C27C2">
        <w:rPr>
          <w:sz w:val="28"/>
          <w:szCs w:val="28"/>
        </w:rPr>
        <w:t>.8</w:t>
      </w:r>
      <w:r w:rsidRPr="00EB1352">
        <w:rPr>
          <w:sz w:val="28"/>
          <w:szCs w:val="28"/>
        </w:rPr>
        <w:t>]</w:t>
      </w:r>
      <w:r w:rsidRPr="00EB1352">
        <w:rPr>
          <w:sz w:val="28"/>
          <w:szCs w:val="28"/>
        </w:rPr>
        <w:t>.</w:t>
      </w:r>
    </w:p>
    <w:p w:rsidR="007756BA" w:rsidRPr="00EB1352" w:rsidRDefault="003E675B" w:rsidP="00EB135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Занятие по английскому языку было посвящено теме </w:t>
      </w:r>
      <w:r w:rsidRPr="00EB1352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756BA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Immersive</w:t>
      </w:r>
      <w:proofErr w:type="spellEnd"/>
      <w:r w:rsidR="007756BA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7756BA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Realities</w:t>
      </w:r>
      <w:proofErr w:type="spellEnd"/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»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t>, в рамках которой рассматривались такие понятия, как виртуальная (</w:t>
      </w:r>
      <w:r w:rsidR="007756BA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VR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t>), дополненная (</w:t>
      </w:r>
      <w:r w:rsidR="007756BA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AR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t>) и смешанная (</w:t>
      </w:r>
      <w:r w:rsidR="007756BA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MR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t>) реальности. В ходе обсуждения были затронуты вопросы применения этих технологий в экономике, здравоохранении, образовании, а также их перспективы в ближайшем будущем. Работа строилась на изучении англоязычных источников и лексики, выполнении коммуникативных заданий и анализе статистических данных.</w:t>
      </w:r>
    </w:p>
    <w:p w:rsidR="007756BA" w:rsidRPr="00EB1352" w:rsidRDefault="00176F9F" w:rsidP="00EB135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>Следуя принципам а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>ктивно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>го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 xml:space="preserve"> обучени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>я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>, включающе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>го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 xml:space="preserve"> исследовательские задания,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 xml:space="preserve"> которые значительно повышаю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>т успеваемость студентов в научных дисциплинах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 xml:space="preserve"> [</w:t>
      </w:r>
      <w:r w:rsidR="00986466" w:rsidRPr="00986466">
        <w:rPr>
          <w:rStyle w:val="relative"/>
          <w:rFonts w:ascii="Times New Roman" w:hAnsi="Times New Roman" w:cs="Times New Roman"/>
          <w:sz w:val="28"/>
          <w:szCs w:val="28"/>
        </w:rPr>
        <w:t>2</w:t>
      </w:r>
      <w:r w:rsidRPr="00EB1352">
        <w:rPr>
          <w:rStyle w:val="relative"/>
          <w:rFonts w:ascii="Times New Roman" w:hAnsi="Times New Roman" w:cs="Times New Roman"/>
          <w:sz w:val="28"/>
          <w:szCs w:val="28"/>
        </w:rPr>
        <w:t>], п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t>о итогам занятия одному из студентов было предложено дополн</w:t>
      </w:r>
      <w:r w:rsidRPr="00EB1352">
        <w:rPr>
          <w:rFonts w:ascii="Times New Roman" w:hAnsi="Times New Roman" w:cs="Times New Roman"/>
          <w:sz w:val="28"/>
          <w:szCs w:val="28"/>
          <w:lang w:eastAsia="ru-RU"/>
        </w:rPr>
        <w:t>ительное индивидуальное задание,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которого он должен был исследовать реальные статистические данные, в 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каких отраслях экономики применяются технологии </w:t>
      </w:r>
      <w:r w:rsidR="002125DD" w:rsidRPr="00EB1352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756BA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immersive</w:t>
      </w:r>
      <w:proofErr w:type="spellEnd"/>
      <w:r w:rsidR="007756BA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7756BA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reality</w:t>
      </w:r>
      <w:proofErr w:type="spellEnd"/>
      <w:r w:rsidR="002125DD"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»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 и какие прогнозы даются аналитиками в отношении их развития. Студент проявил инициативу, изучил ряд англоязычных </w:t>
      </w:r>
      <w:r w:rsidR="0011779F">
        <w:rPr>
          <w:rFonts w:ascii="Times New Roman" w:hAnsi="Times New Roman" w:cs="Times New Roman"/>
          <w:sz w:val="28"/>
          <w:szCs w:val="28"/>
          <w:lang w:eastAsia="ru-RU"/>
        </w:rPr>
        <w:t>академических</w:t>
      </w:r>
      <w:r w:rsidR="007756BA"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 обзоров, отчётов консалтинговых компаний и официальных аналитических платформ, а затем представил результаты в формате мини-исследования на английском языке. На этапе подготовки автор применил оригинальный подход к анализу, использовав математический коэффициент в вычислениях некоторых параметров. </w:t>
      </w:r>
    </w:p>
    <w:p w:rsidR="00F53897" w:rsidRPr="00EB1352" w:rsidRDefault="007756BA" w:rsidP="00EB135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Учитывая высокий уровень проработки темы и искренний интерес студента, следующим шагом стало предложение подготовить статью научного характера. Преподаватель выступил в роли научного руководителя: помог с подбором академических источников, структурированием материала, редактированием текста, а также оформлением статьи в соответствии с академическими требованиями. </w:t>
      </w:r>
      <w:r w:rsidR="00F53897"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многим авторам, </w:t>
      </w:r>
      <w:r w:rsidR="00F53897" w:rsidRPr="00EB1352">
        <w:rPr>
          <w:rFonts w:ascii="Times New Roman" w:hAnsi="Times New Roman" w:cs="Times New Roman"/>
          <w:sz w:val="28"/>
          <w:szCs w:val="28"/>
        </w:rPr>
        <w:t>и</w:t>
      </w:r>
      <w:r w:rsidR="00F53897" w:rsidRPr="00EB1352">
        <w:rPr>
          <w:rStyle w:val="relative"/>
          <w:rFonts w:ascii="Times New Roman" w:hAnsi="Times New Roman" w:cs="Times New Roman"/>
          <w:sz w:val="28"/>
          <w:szCs w:val="28"/>
        </w:rPr>
        <w:t>нтеграция преподавания и исследований способствует более глубокому обучению студентов и ра</w:t>
      </w:r>
      <w:r w:rsidR="00F53897" w:rsidRPr="00EB1352">
        <w:rPr>
          <w:rStyle w:val="relative"/>
          <w:rFonts w:ascii="Times New Roman" w:hAnsi="Times New Roman" w:cs="Times New Roman"/>
          <w:sz w:val="28"/>
          <w:szCs w:val="28"/>
        </w:rPr>
        <w:t>звитию их критического мышления [</w:t>
      </w:r>
      <w:r w:rsidR="00986466" w:rsidRPr="00986466">
        <w:rPr>
          <w:rStyle w:val="relative"/>
          <w:rFonts w:ascii="Times New Roman" w:hAnsi="Times New Roman" w:cs="Times New Roman"/>
          <w:sz w:val="28"/>
          <w:szCs w:val="28"/>
        </w:rPr>
        <w:t>1</w:t>
      </w:r>
      <w:r w:rsidR="00F53897" w:rsidRPr="00EB1352">
        <w:rPr>
          <w:rStyle w:val="relative"/>
          <w:rFonts w:ascii="Times New Roman" w:hAnsi="Times New Roman" w:cs="Times New Roman"/>
          <w:sz w:val="28"/>
          <w:szCs w:val="28"/>
        </w:rPr>
        <w:t xml:space="preserve">, </w:t>
      </w:r>
      <w:r w:rsidR="00F53897" w:rsidRPr="00EB1352">
        <w:rPr>
          <w:rStyle w:val="relative"/>
          <w:rFonts w:ascii="Times New Roman" w:hAnsi="Times New Roman" w:cs="Times New Roman"/>
          <w:sz w:val="28"/>
          <w:szCs w:val="28"/>
          <w:lang w:val="en-US"/>
        </w:rPr>
        <w:t>c</w:t>
      </w:r>
      <w:r w:rsidR="00F53897" w:rsidRPr="00EB1352">
        <w:rPr>
          <w:rStyle w:val="relative"/>
          <w:rFonts w:ascii="Times New Roman" w:hAnsi="Times New Roman" w:cs="Times New Roman"/>
          <w:sz w:val="28"/>
          <w:szCs w:val="28"/>
        </w:rPr>
        <w:t>. 45]</w:t>
      </w:r>
      <w:r w:rsidR="00986466" w:rsidRPr="00986466">
        <w:rPr>
          <w:rStyle w:val="relative"/>
          <w:rFonts w:ascii="Times New Roman" w:hAnsi="Times New Roman" w:cs="Times New Roman"/>
          <w:sz w:val="28"/>
          <w:szCs w:val="28"/>
        </w:rPr>
        <w:t>.</w:t>
      </w:r>
      <w:r w:rsidR="00F53897" w:rsidRPr="00EB1352">
        <w:rPr>
          <w:rStyle w:val="relative"/>
          <w:rFonts w:ascii="Times New Roman" w:hAnsi="Times New Roman" w:cs="Times New Roman"/>
          <w:sz w:val="28"/>
          <w:szCs w:val="28"/>
        </w:rPr>
        <w:t xml:space="preserve"> </w:t>
      </w:r>
    </w:p>
    <w:p w:rsidR="007756BA" w:rsidRPr="00EB1352" w:rsidRDefault="008C0251" w:rsidP="00EB135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</w:rPr>
        <w:t xml:space="preserve">Работа над исследованием велась на английском языке, что способствовало не только углублённому освоению предметного содержания, но и поэтапному формированию у студента ключевых академических умений: от овладения научным стилем письма до развития критического мышления и </w:t>
      </w:r>
      <w:proofErr w:type="spellStart"/>
      <w:r w:rsidRPr="00EB1352">
        <w:rPr>
          <w:rFonts w:ascii="Times New Roman" w:hAnsi="Times New Roman" w:cs="Times New Roman"/>
          <w:sz w:val="28"/>
          <w:szCs w:val="28"/>
        </w:rPr>
        <w:t>аргументативной</w:t>
      </w:r>
      <w:proofErr w:type="spellEnd"/>
      <w:r w:rsidRPr="00EB1352">
        <w:rPr>
          <w:rFonts w:ascii="Times New Roman" w:hAnsi="Times New Roman" w:cs="Times New Roman"/>
          <w:sz w:val="28"/>
          <w:szCs w:val="28"/>
        </w:rPr>
        <w:t xml:space="preserve"> компетентности. Особенно значимо в этом контексте участие научного руководителя, ч</w:t>
      </w:r>
      <w:r w:rsidR="0011779F">
        <w:rPr>
          <w:rFonts w:ascii="Times New Roman" w:hAnsi="Times New Roman" w:cs="Times New Roman"/>
          <w:sz w:val="28"/>
          <w:szCs w:val="28"/>
        </w:rPr>
        <w:t>ей задачей является не только</w:t>
      </w:r>
      <w:r w:rsidRPr="00EB1352">
        <w:rPr>
          <w:rFonts w:ascii="Times New Roman" w:hAnsi="Times New Roman" w:cs="Times New Roman"/>
          <w:sz w:val="28"/>
          <w:szCs w:val="28"/>
        </w:rPr>
        <w:t xml:space="preserve"> курировать содержание и структуру исследования, но и обеспечивать целенаправленное сопровождение процесса академического письма, опираясь на уровень языковой подготовки обучающегося. Как подчёркивает </w:t>
      </w:r>
      <w:proofErr w:type="spellStart"/>
      <w:r w:rsidRPr="00EB1352">
        <w:rPr>
          <w:rFonts w:ascii="Times New Roman" w:hAnsi="Times New Roman" w:cs="Times New Roman"/>
          <w:sz w:val="28"/>
          <w:szCs w:val="28"/>
        </w:rPr>
        <w:t>Манчон</w:t>
      </w:r>
      <w:proofErr w:type="spellEnd"/>
      <w:r w:rsidRPr="00EB1352">
        <w:rPr>
          <w:rFonts w:ascii="Times New Roman" w:hAnsi="Times New Roman" w:cs="Times New Roman"/>
          <w:sz w:val="28"/>
          <w:szCs w:val="28"/>
        </w:rPr>
        <w:t>, овладение академическим письмом на английском языке, особенно в условиях неродной языковой среды, требует не универсальных рецептов, а педагогически осмысленного подхода, учитывающего когнитивные, лингвистические и культурные барьеры, с которыми сталкиваются студенты в</w:t>
      </w:r>
      <w:r w:rsidRPr="00EB1352">
        <w:rPr>
          <w:rFonts w:ascii="Times New Roman" w:hAnsi="Times New Roman" w:cs="Times New Roman"/>
          <w:sz w:val="28"/>
          <w:szCs w:val="28"/>
        </w:rPr>
        <w:t xml:space="preserve"> процессе научной коммуникации [</w:t>
      </w:r>
      <w:r w:rsidR="00986466" w:rsidRPr="00986466">
        <w:rPr>
          <w:rFonts w:ascii="Times New Roman" w:hAnsi="Times New Roman" w:cs="Times New Roman"/>
          <w:sz w:val="28"/>
          <w:szCs w:val="28"/>
        </w:rPr>
        <w:t>5</w:t>
      </w:r>
      <w:r w:rsidRPr="00EB1352">
        <w:rPr>
          <w:rFonts w:ascii="Times New Roman" w:hAnsi="Times New Roman" w:cs="Times New Roman"/>
          <w:sz w:val="28"/>
          <w:szCs w:val="28"/>
        </w:rPr>
        <w:t>]</w:t>
      </w:r>
      <w:r w:rsidRPr="00EB1352">
        <w:rPr>
          <w:rFonts w:ascii="Times New Roman" w:hAnsi="Times New Roman" w:cs="Times New Roman"/>
          <w:sz w:val="28"/>
          <w:szCs w:val="28"/>
        </w:rPr>
        <w:t xml:space="preserve">. В этом смысле преподаватель, выступающий в роли </w:t>
      </w:r>
      <w:r w:rsidRPr="00EB1352">
        <w:rPr>
          <w:rFonts w:ascii="Times New Roman" w:hAnsi="Times New Roman" w:cs="Times New Roman"/>
          <w:sz w:val="28"/>
          <w:szCs w:val="28"/>
        </w:rPr>
        <w:lastRenderedPageBreak/>
        <w:t>научного руководителя, становится не просто редактором, но посредником между студентом и академическим дискурсом, облегчая вхождение в последнего посредством методической поддержки и диалогического взаимодействия.</w:t>
      </w:r>
    </w:p>
    <w:p w:rsidR="007756BA" w:rsidRPr="00EB1352" w:rsidRDefault="007756BA" w:rsidP="00EB135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>Статья под названием «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AR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/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VR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Applications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in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Healthcare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Gaming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and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Education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a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Data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>-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Driven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Assessment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of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Market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Viability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and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Future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Development</w:t>
      </w:r>
      <w:r w:rsidRPr="00EB13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B1352">
        <w:rPr>
          <w:rFonts w:ascii="Times New Roman" w:hAnsi="Times New Roman" w:cs="Times New Roman"/>
          <w:i/>
          <w:sz w:val="28"/>
          <w:szCs w:val="28"/>
          <w:lang w:val="en-US" w:eastAsia="ru-RU"/>
        </w:rPr>
        <w:t>Potentia</w:t>
      </w:r>
      <w:r w:rsidRPr="00EB1352">
        <w:rPr>
          <w:rFonts w:ascii="Times New Roman" w:hAnsi="Times New Roman" w:cs="Times New Roman"/>
          <w:sz w:val="28"/>
          <w:szCs w:val="28"/>
          <w:lang w:val="en-US" w:eastAsia="ru-RU"/>
        </w:rPr>
        <w:t>l</w:t>
      </w:r>
      <w:r w:rsidRPr="00EB1352">
        <w:rPr>
          <w:rFonts w:ascii="Times New Roman" w:hAnsi="Times New Roman" w:cs="Times New Roman"/>
          <w:sz w:val="28"/>
          <w:szCs w:val="28"/>
          <w:lang w:eastAsia="ru-RU"/>
        </w:rPr>
        <w:t>» была представлена на международном конкурсе научных работ, где заняла третье место. В дальнейшем доработанная версия статьи была опубликована в научном журнале «Промышленность и сельское хозяйство», раздел «Экономика» (выпуск № 3, 2025), входящем в базу РИНЦ. Таким образом, учебное задание стало основой для первой научной публикации студента.</w:t>
      </w:r>
    </w:p>
    <w:p w:rsidR="007756BA" w:rsidRPr="00EB1352" w:rsidRDefault="007756BA" w:rsidP="00EB135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>Этот случай позволяет сделать несколько важных выводов:</w:t>
      </w:r>
    </w:p>
    <w:p w:rsidR="007756BA" w:rsidRPr="00EB1352" w:rsidRDefault="007756BA" w:rsidP="00EB1352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>Учебные темы, соответствующие современным технологическим трендам, способны вызвать у студентов реальный интерес.</w:t>
      </w:r>
    </w:p>
    <w:p w:rsidR="007756BA" w:rsidRPr="00EB1352" w:rsidRDefault="007756BA" w:rsidP="00EB1352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>Индивидуальное задание, оформленное как мини-проект, может стать основой для будущего исследования.</w:t>
      </w:r>
    </w:p>
    <w:p w:rsidR="007756BA" w:rsidRPr="00EB1352" w:rsidRDefault="007756BA" w:rsidP="00EB1352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>Поддержка преподавателя в роли научного руководителя оказывает существенное влияние на качество и результативность студенческой работы.</w:t>
      </w:r>
    </w:p>
    <w:p w:rsidR="007756BA" w:rsidRPr="00EB1352" w:rsidRDefault="007756BA" w:rsidP="00EB1352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>Использование английского языка как инструмента научного анализа способствует формированию у студентов академической и профессиональной компетентности.</w:t>
      </w:r>
    </w:p>
    <w:p w:rsidR="007756BA" w:rsidRPr="00EB1352" w:rsidRDefault="007756BA" w:rsidP="00EB135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Опыт, описанный в статье, демонстрирует практическую значимость интеграции учебных заданий с научно-исследовательской деятельностью в неязыковом вузе. Работа по теме </w:t>
      </w:r>
      <w:proofErr w:type="spellStart"/>
      <w:r w:rsidRPr="00EB1352">
        <w:rPr>
          <w:rFonts w:ascii="Times New Roman" w:hAnsi="Times New Roman" w:cs="Times New Roman"/>
          <w:sz w:val="28"/>
          <w:szCs w:val="28"/>
          <w:lang w:eastAsia="ru-RU"/>
        </w:rPr>
        <w:t>иммерсивных</w:t>
      </w:r>
      <w:proofErr w:type="spellEnd"/>
      <w:r w:rsidRPr="00EB1352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технологий позволила не только развить языковые навыки, но и погрузиться в актуальный исследовательский контекст, сопряжённый с профессиональными интересами студента. Переход от учебного задания к научной публикации стал результатом правильно организованного педагогического сопровождения, где </w:t>
      </w:r>
      <w:r w:rsidRPr="00EB135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английский язык выступает не просто учебной дисциплиной, а полноценным инструментом академического развития. Данный опыт показывает, что даже в рамках стандартной дисциплины можно сформировать у студентов уверенность в собственных силах, развить аналитическое мышление и заложить основы научной культуры, что особенно важно в условиях подготовки высококвалифицированных специалистов в сфере ИТ и анализа данных.</w:t>
      </w:r>
    </w:p>
    <w:p w:rsidR="00A02389" w:rsidRPr="007756BA" w:rsidRDefault="00A02389" w:rsidP="00A02389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15090F" w:rsidRPr="00EB1352" w:rsidRDefault="0015090F" w:rsidP="00EB1352">
      <w:pPr>
        <w:pStyle w:val="a6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EB1352">
        <w:rPr>
          <w:rStyle w:val="relative"/>
          <w:sz w:val="28"/>
          <w:szCs w:val="28"/>
          <w:lang w:val="en-US"/>
        </w:rPr>
        <w:t xml:space="preserve">Brew A. Research and Teaching: Beyond the Divide. </w:t>
      </w:r>
      <w:r w:rsidRPr="00EB1352">
        <w:rPr>
          <w:sz w:val="28"/>
          <w:szCs w:val="28"/>
          <w:shd w:val="clear" w:color="auto" w:fill="FFFFFF"/>
          <w:lang w:val="en-US"/>
        </w:rPr>
        <w:t>Bloomsbury Publishing</w:t>
      </w:r>
      <w:r w:rsidRPr="00EB1352">
        <w:rPr>
          <w:rStyle w:val="relative"/>
          <w:sz w:val="28"/>
          <w:szCs w:val="28"/>
          <w:lang w:val="en-US"/>
        </w:rPr>
        <w:t>, 2017, 224 p.</w:t>
      </w:r>
    </w:p>
    <w:p w:rsidR="0015090F" w:rsidRPr="00EB1352" w:rsidRDefault="0015090F" w:rsidP="00EB1352">
      <w:pPr>
        <w:pStyle w:val="a6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EB1352">
        <w:rPr>
          <w:rStyle w:val="relative"/>
          <w:sz w:val="28"/>
          <w:szCs w:val="28"/>
          <w:lang w:val="en-US"/>
        </w:rPr>
        <w:t>Freeman S., et al. Active learning increases student performance in science, engineering, and mathematics. // Proceedings of the National Academy of Sciences, 2014, Vol. 111, No. 23, pp. 8410–8415.</w:t>
      </w:r>
    </w:p>
    <w:p w:rsidR="0015090F" w:rsidRPr="00EB1352" w:rsidRDefault="0015090F" w:rsidP="00EB1352">
      <w:pPr>
        <w:pStyle w:val="a6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EB1352">
        <w:rPr>
          <w:rStyle w:val="relative"/>
          <w:sz w:val="28"/>
          <w:szCs w:val="28"/>
          <w:lang w:val="en-US"/>
        </w:rPr>
        <w:t>Hyland K. Academic Discourse: English in a Global Context. Continuum, 2009, 215 p.</w:t>
      </w:r>
    </w:p>
    <w:p w:rsidR="0015090F" w:rsidRPr="00EB1352" w:rsidRDefault="0015090F" w:rsidP="00EB1352">
      <w:pPr>
        <w:pStyle w:val="a6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EB1352">
        <w:rPr>
          <w:rStyle w:val="relative"/>
          <w:sz w:val="28"/>
          <w:szCs w:val="28"/>
          <w:lang w:val="en-US"/>
        </w:rPr>
        <w:t xml:space="preserve">Lee A. How </w:t>
      </w:r>
      <w:proofErr w:type="gramStart"/>
      <w:r w:rsidRPr="00EB1352">
        <w:rPr>
          <w:rStyle w:val="relative"/>
          <w:sz w:val="28"/>
          <w:szCs w:val="28"/>
          <w:lang w:val="en-US"/>
        </w:rPr>
        <w:t>are doctoral students supervised</w:t>
      </w:r>
      <w:proofErr w:type="gramEnd"/>
      <w:r w:rsidRPr="00EB1352">
        <w:rPr>
          <w:rStyle w:val="relative"/>
          <w:sz w:val="28"/>
          <w:szCs w:val="28"/>
          <w:lang w:val="en-US"/>
        </w:rPr>
        <w:t>? Concepts of doctoral research supervision. // Studies in Higher Education, 2008, Vol. 33, No. 3, pp. 267–281.</w:t>
      </w:r>
    </w:p>
    <w:p w:rsidR="0015090F" w:rsidRPr="00EB1352" w:rsidRDefault="0015090F" w:rsidP="00EB1352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EB13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Manchón</w:t>
      </w:r>
      <w:proofErr w:type="spellEnd"/>
      <w:r w:rsidRPr="00EB13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</w:t>
      </w:r>
      <w:r w:rsidRPr="00EB13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 </w:t>
      </w:r>
      <w:r w:rsidRPr="00EB135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L2 Writing Development: Multiple Perspectives</w:t>
      </w:r>
      <w:r w:rsidRPr="00EB13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Berlin, Boston: De </w:t>
      </w:r>
      <w:proofErr w:type="spellStart"/>
      <w:r w:rsidRPr="00EB13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Gruyter</w:t>
      </w:r>
      <w:proofErr w:type="spellEnd"/>
      <w:r w:rsidRPr="00EB13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Mouton, 2012. </w:t>
      </w:r>
      <w:hyperlink r:id="rId5" w:history="1">
        <w:r w:rsidRPr="00EB1352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https://doi.org/10.1515/9781934078303</w:t>
        </w:r>
      </w:hyperlink>
    </w:p>
    <w:p w:rsidR="0015090F" w:rsidRPr="00EB1352" w:rsidRDefault="0015090F" w:rsidP="00EB1352">
      <w:pPr>
        <w:pStyle w:val="a6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proofErr w:type="spellStart"/>
      <w:r w:rsidRPr="00EB1352">
        <w:rPr>
          <w:rStyle w:val="relative"/>
          <w:sz w:val="28"/>
          <w:szCs w:val="28"/>
          <w:lang w:val="en-US"/>
        </w:rPr>
        <w:t>Schwortz</w:t>
      </w:r>
      <w:proofErr w:type="spellEnd"/>
      <w:r w:rsidRPr="00EB1352">
        <w:rPr>
          <w:rStyle w:val="relative"/>
          <w:sz w:val="28"/>
          <w:szCs w:val="28"/>
          <w:lang w:val="en-US"/>
        </w:rPr>
        <w:t xml:space="preserve"> A. C., et al. Mentoring Partnerships in Science Education. // </w:t>
      </w:r>
      <w:r w:rsidRPr="00EB1352">
        <w:rPr>
          <w:iCs/>
          <w:sz w:val="28"/>
          <w:szCs w:val="28"/>
          <w:shd w:val="clear" w:color="auto" w:fill="FFFFFF"/>
          <w:lang w:val="en-US"/>
        </w:rPr>
        <w:t>Educational Action Research</w:t>
      </w:r>
      <w:r w:rsidRPr="00EB1352">
        <w:rPr>
          <w:rStyle w:val="relative"/>
          <w:sz w:val="28"/>
          <w:szCs w:val="28"/>
          <w:lang w:val="en-US"/>
        </w:rPr>
        <w:t>, 2016, pp. 1-20.</w:t>
      </w:r>
    </w:p>
    <w:p w:rsidR="0015090F" w:rsidRPr="00EB1352" w:rsidRDefault="0015090F" w:rsidP="00EB135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Sunalini</w:t>
      </w:r>
      <w:proofErr w:type="spellEnd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K. K., Afrin Khan A., Vijay M., </w:t>
      </w:r>
      <w:proofErr w:type="spellStart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Kasarapu</w:t>
      </w:r>
      <w:proofErr w:type="spellEnd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Esther Rani, Suresh Kumar </w:t>
      </w:r>
      <w:proofErr w:type="gramStart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.,</w:t>
      </w:r>
      <w:proofErr w:type="gramEnd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Sri </w:t>
      </w:r>
      <w:proofErr w:type="spellStart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Nidhya</w:t>
      </w:r>
      <w:proofErr w:type="spellEnd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G., Sharma S.  Role of English Language in Facilitating Interdisciplinary Learning in Higher Education. </w:t>
      </w:r>
      <w:proofErr w:type="spellStart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</w:rPr>
        <w:t>Library</w:t>
      </w:r>
      <w:proofErr w:type="spellEnd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</w:rPr>
        <w:t>Progress</w:t>
      </w:r>
      <w:proofErr w:type="spellEnd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</w:rPr>
        <w:t>International</w:t>
      </w:r>
      <w:proofErr w:type="spellEnd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2024, 44(3), </w:t>
      </w:r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pp.</w:t>
      </w:r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12761-12766.</w:t>
      </w:r>
    </w:p>
    <w:p w:rsidR="0015090F" w:rsidRPr="00EB1352" w:rsidRDefault="0015090F" w:rsidP="00596774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lang w:val="en-US"/>
        </w:rPr>
      </w:pPr>
      <w:proofErr w:type="spellStart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Yallew</w:t>
      </w:r>
      <w:proofErr w:type="spellEnd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A. T. The Expanding Use of the English Language for Research and its Implications for Higher Education Institutions and Researchers: A Case Study of Three African Flagship Universities // Journal of Comparative &amp; </w:t>
      </w:r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>International Higher Education, 11(</w:t>
      </w:r>
      <w:proofErr w:type="gramStart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Winter</w:t>
      </w:r>
      <w:proofErr w:type="gramEnd"/>
      <w:r w:rsidRPr="00EB135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), 209-212, 2020. https://doi.org/10.32674/jcihe.</w:t>
      </w:r>
    </w:p>
    <w:sectPr w:rsidR="0015090F" w:rsidRPr="00EB1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5578"/>
    <w:multiLevelType w:val="hybridMultilevel"/>
    <w:tmpl w:val="6C5465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A4866"/>
    <w:multiLevelType w:val="hybridMultilevel"/>
    <w:tmpl w:val="5576E7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1C80DCE"/>
    <w:multiLevelType w:val="multilevel"/>
    <w:tmpl w:val="D9B4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536FBE"/>
    <w:multiLevelType w:val="hybridMultilevel"/>
    <w:tmpl w:val="463CF6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20"/>
    <w:rsid w:val="00070119"/>
    <w:rsid w:val="000C4C10"/>
    <w:rsid w:val="0011779F"/>
    <w:rsid w:val="0015090F"/>
    <w:rsid w:val="00176F9F"/>
    <w:rsid w:val="001D5B20"/>
    <w:rsid w:val="002125DD"/>
    <w:rsid w:val="00220855"/>
    <w:rsid w:val="0027068C"/>
    <w:rsid w:val="0029379C"/>
    <w:rsid w:val="002E6442"/>
    <w:rsid w:val="003C27C2"/>
    <w:rsid w:val="003E675B"/>
    <w:rsid w:val="00535FAB"/>
    <w:rsid w:val="00561A8C"/>
    <w:rsid w:val="005D671A"/>
    <w:rsid w:val="007756BA"/>
    <w:rsid w:val="00812C92"/>
    <w:rsid w:val="008C0251"/>
    <w:rsid w:val="00986466"/>
    <w:rsid w:val="00A02389"/>
    <w:rsid w:val="00A209E0"/>
    <w:rsid w:val="00A67559"/>
    <w:rsid w:val="00AC03D1"/>
    <w:rsid w:val="00C06920"/>
    <w:rsid w:val="00D92DF6"/>
    <w:rsid w:val="00E67344"/>
    <w:rsid w:val="00EB1352"/>
    <w:rsid w:val="00F5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E2322"/>
  <w15:chartTrackingRefBased/>
  <w15:docId w15:val="{B9854EC8-F713-4E41-B2C0-3826658A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6B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6BA"/>
    <w:pPr>
      <w:ind w:left="720"/>
      <w:contextualSpacing/>
    </w:pPr>
  </w:style>
  <w:style w:type="paragraph" w:styleId="a4">
    <w:name w:val="No Spacing"/>
    <w:uiPriority w:val="1"/>
    <w:qFormat/>
    <w:rsid w:val="007756BA"/>
    <w:pPr>
      <w:spacing w:after="0" w:line="240" w:lineRule="auto"/>
    </w:pPr>
  </w:style>
  <w:style w:type="character" w:styleId="a5">
    <w:name w:val="Emphasis"/>
    <w:basedOn w:val="a0"/>
    <w:uiPriority w:val="20"/>
    <w:qFormat/>
    <w:rsid w:val="00A02389"/>
    <w:rPr>
      <w:i/>
      <w:iCs/>
    </w:rPr>
  </w:style>
  <w:style w:type="paragraph" w:styleId="a6">
    <w:name w:val="Normal (Web)"/>
    <w:basedOn w:val="a"/>
    <w:uiPriority w:val="99"/>
    <w:semiHidden/>
    <w:unhideWhenUsed/>
    <w:rsid w:val="00A20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209E0"/>
    <w:rPr>
      <w:b/>
      <w:bCs/>
    </w:rPr>
  </w:style>
  <w:style w:type="character" w:customStyle="1" w:styleId="relative">
    <w:name w:val="relative"/>
    <w:basedOn w:val="a0"/>
    <w:rsid w:val="00A209E0"/>
  </w:style>
  <w:style w:type="character" w:customStyle="1" w:styleId="ms-1">
    <w:name w:val="ms-1"/>
    <w:basedOn w:val="a0"/>
    <w:rsid w:val="00A209E0"/>
  </w:style>
  <w:style w:type="character" w:customStyle="1" w:styleId="max-w-full">
    <w:name w:val="max-w-full"/>
    <w:basedOn w:val="a0"/>
    <w:rsid w:val="00A20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2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410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892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30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4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35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0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79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9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8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9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6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515/97819340783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Валида Джабраилова</dc:creator>
  <cp:keywords/>
  <dc:description/>
  <cp:lastModifiedBy>Валида Джабраилова</cp:lastModifiedBy>
  <cp:revision>22</cp:revision>
  <dcterms:created xsi:type="dcterms:W3CDTF">2025-05-10T12:10:00Z</dcterms:created>
  <dcterms:modified xsi:type="dcterms:W3CDTF">2025-05-10T15:56:00Z</dcterms:modified>
</cp:coreProperties>
</file>