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57C" w:rsidRPr="002E3250" w:rsidRDefault="00B63885" w:rsidP="00D502E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aps/>
          <w:color w:val="2C2C36"/>
          <w:spacing w:val="5"/>
          <w:sz w:val="28"/>
          <w:szCs w:val="28"/>
          <w:lang w:eastAsia="ru-RU"/>
        </w:rPr>
      </w:pPr>
      <w:r w:rsidRPr="002E3250">
        <w:rPr>
          <w:rFonts w:ascii="Times New Roman" w:eastAsia="Times New Roman" w:hAnsi="Times New Roman" w:cs="Times New Roman"/>
          <w:b/>
          <w:caps/>
          <w:color w:val="111827"/>
          <w:spacing w:val="5"/>
          <w:sz w:val="28"/>
          <w:szCs w:val="28"/>
          <w:lang w:eastAsia="ru-RU"/>
        </w:rPr>
        <w:t>Системы управления доступом в сетевых технологиях: от теории к современной практике</w:t>
      </w:r>
    </w:p>
    <w:p w:rsidR="00B63885" w:rsidRPr="00B63885" w:rsidRDefault="00B63885" w:rsidP="00D502E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i/>
          <w:iCs/>
          <w:color w:val="2C2C36"/>
          <w:spacing w:val="5"/>
          <w:sz w:val="28"/>
          <w:szCs w:val="28"/>
          <w:lang w:eastAsia="ru-RU"/>
        </w:rPr>
        <w:t>Обзор актуальных моделей, архитектур и перспектив внедрения в IT-инфраструктурах</w:t>
      </w:r>
    </w:p>
    <w:p w:rsidR="0093057C" w:rsidRDefault="00B63885" w:rsidP="00D502E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Автор: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Суркова Анастасия Александровна</w:t>
      </w:r>
    </w:p>
    <w:p w:rsidR="0093057C" w:rsidRDefault="00B63885" w:rsidP="00D502E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Специальность: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Специалист по компьютерным сетям</w:t>
      </w:r>
    </w:p>
    <w:p w:rsidR="0093057C" w:rsidRDefault="00B63885" w:rsidP="00D502E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Контакт: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hyperlink r:id="rId7" w:tgtFrame="_blank" w:history="1">
        <w:r w:rsidRPr="00B63885">
          <w:rPr>
            <w:rFonts w:ascii="Times New Roman" w:eastAsia="Times New Roman" w:hAnsi="Times New Roman" w:cs="Times New Roman"/>
            <w:color w:val="615CED"/>
            <w:spacing w:val="5"/>
            <w:sz w:val="28"/>
            <w:szCs w:val="28"/>
            <w:u w:val="single"/>
            <w:lang w:eastAsia="ru-RU"/>
          </w:rPr>
          <w:t>surkova.aa@ipkp.ru</w:t>
        </w:r>
      </w:hyperlink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В условиях стремительной цифровизации, перехода к гибридным и облачным средам, а также роста числа кибератак, традиционные подходы к информационной безопасности утратили свою эффективность. Бывший «неприступный» периметр сети — брандмауэры, VPN, DMZ — больше не может гарантировать защиту данных. Современные угрозы, такие как фишинг, компрометация учётных записей, внутренние утечки и атаки на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supply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chain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требуют кардинального пересмотра стратегии защиты. В этой новой реальности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идентичность становится новым периметром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а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системы управления доступом (СУД)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ключевым элементом кибербезопасности.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Современные СУД — это не просто механизмы входа по логину и паролю. Это сложные, многоуровневые архитектуры, обеспечивающие сквозной контроль доступа от момента подключения устройства до выполнения операций с критически важными данными. Они интегрируют сетевые технологии, облачные сервисы, политики безопасности и поведенческий анализ,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превращаяся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из инструмента администрирования в стратегическую систему защиты.</w:t>
      </w:r>
    </w:p>
    <w:p w:rsid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Настоящая статья представляет собой обобщение и анализ современного состояния систем управления доступом, основанное на комплексном исследовании теоретических моделей, технологических решений и практического опыта внедрения. Цель — не просто перечислить существующие технологии, а показать эволюцию подходов, выявить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>ключевые тренды и предложить обоснованную, применимую на практике модель современной СУД для средних и крупных организаций.</w:t>
      </w:r>
    </w:p>
    <w:p w:rsidR="002E3250" w:rsidRPr="00B63885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  <w:t>Теоретические основы: когда доступ перестал быть простым</w:t>
      </w:r>
    </w:p>
    <w:p w:rsidR="002E3250" w:rsidRPr="00B63885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Фундаментом любой системы управления доступом является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AAA-модель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: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Authentication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(аутентификация),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Authorization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(авторизация),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Accounting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(учёт). Эта триада, впервые систематизированная ещё в 1970-х, остаётся актуальной и сегодня, хотя её реализация кардинально изменилась.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Аутентификация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процесс проверки личности субъекта. От простого логина/пароля мы перешли к многофакторной аутентификации (MFA), биометрии и, в перспективе, к беспарольным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passwordless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) решениям на основе FIDO2 и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WebAuthn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. Пароль сегодня — это не «ключ», а лишь один из факторов, часто самый слабый.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Авторизация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определение прав доступа после успешной аутентификации. Здесь произошла наиболее значительная эволюция. Рассмотрим основные модели:</w:t>
      </w:r>
    </w:p>
    <w:p w:rsidR="00B63885" w:rsidRPr="00B63885" w:rsidRDefault="00B63885" w:rsidP="0093057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DAC (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Discretionary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Control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доступ определяется владельцем ресурса. Гибкая, но небезопасная для корпоративных сред, где контроль должен быть централизованным.</w:t>
      </w:r>
    </w:p>
    <w:p w:rsidR="00B63885" w:rsidRPr="00B63885" w:rsidRDefault="00B63885" w:rsidP="0093057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MAC (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Mandatory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Control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доступ определяется политиками безопасности на уровне системы (например, по уровням секретности). Очень строгая, но сложная в администрировании, чаще используется в государственных и военных структурах.</w:t>
      </w:r>
    </w:p>
    <w:p w:rsidR="00B63885" w:rsidRPr="00B63885" w:rsidRDefault="00B63885" w:rsidP="0093057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RBAC (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Role-Based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Control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доступ определяется по ролям («бухгалтер», «администратор», «HR»). Масштабируемая и понятная модель, ставшая стандартом де-факто в большинстве организаций. Однако её главный недостаток — жёсткость. Пользователь получает все права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>своей роли, даже если часть из них ему не нужна (принцип наименьших привилегий нарушается).</w:t>
      </w:r>
    </w:p>
    <w:p w:rsidR="00B63885" w:rsidRPr="00B63885" w:rsidRDefault="00B63885" w:rsidP="0093057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ABAC (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Attribute-Based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Control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доступ определяется на основе множества атрибутов: пользователя (роль, подразделение), ресурса (тип, чувствительность), среды (время, местоположение, состояние устройства). Это гибкая, контекстно-зависимая модель, лежащая в основе современных подходов к безопасности. Например, пользователь может получить доступ к финансовым данным только с корпоративного устройства, в рабочее время и из офиса.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ABAC, в сочетании с концепцией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Zero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Trust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формирует основу для следующего поколения СУД.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Zero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Trust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предложенная Джоном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Киндервагом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John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Kindervag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) в 2010 году, основана на простом, но революционном принципе: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никому и ничему не доверяй по умолчанию, всегда проверяй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. В отличие от традиционной модели «доверяй, но проверяй» внутри периметра,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Zero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Trust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требует верификации на каждом этапе. Гугл, реализовавший эту концепцию в проекте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BeyondCorp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показал, что можно полностью отказаться от корпоративной сети и VPN, обеспечивая безопасный доступ к приложениям из любой точки мира.</w:t>
      </w:r>
    </w:p>
    <w:p w:rsid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Таким образом, теоретическая база СУД смещается от статических, ролевых моделей к динамическим, контекстно-зависимым и непрерывным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continuous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проверкам.</w:t>
      </w:r>
    </w:p>
    <w:p w:rsidR="002E3250" w:rsidRPr="00B63885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  <w:t>Архитектура и технологии: как теория превращается в практику</w:t>
      </w:r>
    </w:p>
    <w:p w:rsidR="002E3250" w:rsidRPr="00B63885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Теория без практики мертва. Как же реализуются современные модели управления доступом в реальных сетевых средах?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Современная СУД — это не единый продукт, а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интегрированная экосистема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включающая следующие компоненты:</w:t>
      </w:r>
    </w:p>
    <w:p w:rsidR="0093057C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1. Архитектура PDP/PEP/PIP/PRP.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 xml:space="preserve">Центральным элементом является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Policy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Decision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Point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(PDP)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сервер, который принимает решение о доступе на основе политик. Он взаимодействует с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Policy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Enforcement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Point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(PEP)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точкой, где это решение исполняется (например, коммутатор, WLC, веб-приложение).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Policy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Information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Point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(PIP)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предоставляет PDP дополнительные данные (атрибуты пользователя, состояние устройства), а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Policy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Retrieval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Point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(PRP)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хранит сами политики доступа. Эта архитектура, описанная в стандартах XACML, позволяет строить гибкие, централизованные системы контроля.</w:t>
      </w:r>
    </w:p>
    <w:p w:rsidR="0093057C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2. Сетевые технологии: 802.1X и NAC.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Для контроля доступа на канальном уровне (L2) незаменима технология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802.1X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. Она позволяет аутентифицировать устройство </w:t>
      </w:r>
      <w:r w:rsidRPr="00B63885">
        <w:rPr>
          <w:rFonts w:ascii="Times New Roman" w:eastAsia="Times New Roman" w:hAnsi="Times New Roman" w:cs="Times New Roman"/>
          <w:i/>
          <w:iCs/>
          <w:color w:val="2C2C36"/>
          <w:spacing w:val="5"/>
          <w:sz w:val="28"/>
          <w:szCs w:val="28"/>
          <w:lang w:eastAsia="ru-RU"/>
        </w:rPr>
        <w:t>до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того, как оно получит доступ к сети. Работает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по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схеме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«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клиент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(Supplicant) —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коммутатор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/WLC (Authenticator) — RADIUS-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сервер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(Authentication Server)».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При успешной проверке RADIUS-сервер возвращает атрибуты (например, </w:t>
      </w:r>
      <w:proofErr w:type="spellStart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Tunnel</w:t>
      </w:r>
      <w:proofErr w:type="spellEnd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-</w:t>
      </w:r>
      <w:proofErr w:type="spellStart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Private</w:t>
      </w:r>
      <w:proofErr w:type="spellEnd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-</w:t>
      </w:r>
      <w:proofErr w:type="spellStart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Group</w:t>
      </w:r>
      <w:proofErr w:type="spellEnd"/>
      <w:r w:rsidRPr="00B6388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-ID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), по которым коммутатор назначает устройству VLAN. Это основа для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Network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Control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(NAC)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которая включает в себя не только аутентификацию, но и профилирование устройств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IoT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BYOD), проверку их состояния (наличие антивируса, обновлений) и карантин неподготовленных устройств.</w:t>
      </w:r>
    </w:p>
    <w:p w:rsidR="0093057C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3. Протоколы аутентификации и авторизации.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Выбор протокола критически важен:</w:t>
      </w:r>
    </w:p>
    <w:p w:rsidR="00B63885" w:rsidRPr="00B63885" w:rsidRDefault="00B63885" w:rsidP="0093057C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RADIUS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де-факто стандарт для 802.1X, NAC, аутентификации на сетевом оборудовании. Поддерживает различные методы EAP (EAP-TLS для сертификатов, PEAP-MSCHAPv2 для логина/пароля + MFA).</w:t>
      </w:r>
    </w:p>
    <w:p w:rsidR="00B63885" w:rsidRPr="00B63885" w:rsidRDefault="00B63885" w:rsidP="0093057C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TACACS+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используется для административного доступа к сетевому оборудованию, обеспечивает разделение аутентификации, авторизации и учёта.</w:t>
      </w:r>
    </w:p>
    <w:p w:rsidR="00B63885" w:rsidRPr="00B63885" w:rsidRDefault="00B63885" w:rsidP="0093057C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lastRenderedPageBreak/>
        <w:t>OAuth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2.0 и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OpenID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Connect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 (OIDC)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стандарты для веб- и облачных приложений.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OAuth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управляет </w:t>
      </w:r>
      <w:r w:rsidRPr="00B63885">
        <w:rPr>
          <w:rFonts w:ascii="Times New Roman" w:eastAsia="Times New Roman" w:hAnsi="Times New Roman" w:cs="Times New Roman"/>
          <w:i/>
          <w:iCs/>
          <w:color w:val="2C2C36"/>
          <w:spacing w:val="5"/>
          <w:sz w:val="28"/>
          <w:szCs w:val="28"/>
          <w:lang w:eastAsia="ru-RU"/>
        </w:rPr>
        <w:t>доступом к ресурсам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OIDC добавляет </w:t>
      </w:r>
      <w:r w:rsidRPr="00B63885">
        <w:rPr>
          <w:rFonts w:ascii="Times New Roman" w:eastAsia="Times New Roman" w:hAnsi="Times New Roman" w:cs="Times New Roman"/>
          <w:i/>
          <w:iCs/>
          <w:color w:val="2C2C36"/>
          <w:spacing w:val="5"/>
          <w:sz w:val="28"/>
          <w:szCs w:val="28"/>
          <w:lang w:eastAsia="ru-RU"/>
        </w:rPr>
        <w:t>аутентификацию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. Именно они лежат в основе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Single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Sign-On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(SSO) и интеграции с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SaaS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-сервисами.</w:t>
      </w:r>
    </w:p>
    <w:p w:rsidR="0093057C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4. Многофакторная аутентификация (MFA) и биометрия.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MFA — обязательный элемент современной безопасности. Комбинация «что-то, что у вас есть» (смартфон, токен) и «что-то, что вы знаете» (пароль) или «что-то, что вы есть» (отпечаток пальца, лицо) значительно повышает уровень защиты. Решения вроде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Google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Authenticator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Microsoft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Authenticator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или аппаратные ключи FIDO2 делают MFA доступной и удобной.</w:t>
      </w:r>
    </w:p>
    <w:p w:rsidR="0093057C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5. Управление идентификацией и доступом (IAM).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IAM-платформы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Microsoft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Entra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ID,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Okta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Ping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Identity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Keycloak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являются центром идентичности в гибридной и облачной среде. Они объединяют в себе:</w:t>
      </w:r>
    </w:p>
    <w:p w:rsidR="00B63885" w:rsidRPr="00B63885" w:rsidRDefault="00B63885" w:rsidP="0093057C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Единый вход (SSO) к сотням приложений.</w:t>
      </w:r>
    </w:p>
    <w:p w:rsidR="00B63885" w:rsidRPr="00B63885" w:rsidRDefault="00B63885" w:rsidP="0093057C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Условный доступ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Conditional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— политики, которые применяются на основе риска (например, «запросить MFA при входе с нового устройства»).</w:t>
      </w:r>
    </w:p>
    <w:p w:rsidR="00B63885" w:rsidRPr="00B63885" w:rsidRDefault="00B63885" w:rsidP="0093057C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Управление жизненным циклом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Lifecycle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Management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) — автоматизация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onboarding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/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offboarding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сотрудников.</w:t>
      </w:r>
    </w:p>
    <w:p w:rsidR="00B63885" w:rsidRPr="00B63885" w:rsidRDefault="00B63885" w:rsidP="0093057C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Интеграцию с MDM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Intune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Jamf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для контроля состояния устройств.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IAM превращает СУД из локальной задачи в глобальную, масштабируемую систему.</w:t>
      </w:r>
    </w:p>
    <w:p w:rsidR="002E3250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B63885" w:rsidRDefault="00B63885" w:rsidP="002E3250">
      <w:pPr>
        <w:shd w:val="clear" w:color="auto" w:fill="FFFFFF"/>
        <w:spacing w:after="0" w:line="36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  <w:t>Практическая реализация: от анализа до внедрения</w:t>
      </w:r>
    </w:p>
    <w:p w:rsidR="002E3250" w:rsidRDefault="002E3250" w:rsidP="002E3250">
      <w:pPr>
        <w:shd w:val="clear" w:color="auto" w:fill="FFFFFF"/>
        <w:spacing w:after="0" w:line="36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 xml:space="preserve">Чтобы теория стала реальностью, необходимо пройти путь от анализа до практического внедрения. Рассмотрим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case-study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внедрения СУД в типовую корпоративную сеть среднего предприятия (500 сотрудников).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1. Анализ и выбор решений</w:t>
      </w:r>
    </w:p>
    <w:p w:rsid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Первый шаг — оценка существующих решений. Сравнение показывает:</w:t>
      </w:r>
    </w:p>
    <w:p w:rsidR="002E3250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2E3250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B075E" w:rsidRPr="002E3250" w:rsidRDefault="00EB075E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Таблица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№1. 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Сравнение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решений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Identity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&amp; 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Access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Management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</w:t>
      </w:r>
      <w:r w:rsidRPr="00EB075E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IAM</w:t>
      </w:r>
      <w:r w:rsidRPr="002E3250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</w:t>
      </w:r>
    </w:p>
    <w:tbl>
      <w:tblPr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05"/>
        <w:gridCol w:w="2118"/>
        <w:gridCol w:w="2369"/>
      </w:tblGrid>
      <w:tr w:rsidR="00D066D7" w:rsidRPr="00B63885" w:rsidTr="002E3250">
        <w:trPr>
          <w:tblHeader/>
        </w:trPr>
        <w:tc>
          <w:tcPr>
            <w:tcW w:w="1982" w:type="dxa"/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B63885" w:rsidRPr="00EB075E" w:rsidRDefault="00EB075E" w:rsidP="00EB0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2C2C36"/>
                <w:spacing w:val="5"/>
                <w:sz w:val="28"/>
                <w:szCs w:val="28"/>
                <w:lang w:eastAsia="ru-RU"/>
              </w:rPr>
            </w:pPr>
            <w:r w:rsidRPr="00EB075E">
              <w:rPr>
                <w:rFonts w:ascii="Times New Roman" w:eastAsia="Times New Roman" w:hAnsi="Times New Roman" w:cs="Times New Roman"/>
                <w:b/>
                <w:color w:val="2C2C36"/>
                <w:spacing w:val="5"/>
                <w:sz w:val="28"/>
                <w:szCs w:val="28"/>
                <w:lang w:eastAsia="ru-RU"/>
              </w:rPr>
              <w:t>Продукт</w:t>
            </w:r>
          </w:p>
        </w:tc>
        <w:tc>
          <w:tcPr>
            <w:tcW w:w="2686" w:type="dxa"/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B63885" w:rsidRPr="00EB075E" w:rsidRDefault="00EB075E" w:rsidP="00EB0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7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Преимущества</w:t>
            </w:r>
          </w:p>
        </w:tc>
        <w:tc>
          <w:tcPr>
            <w:tcW w:w="2126" w:type="dxa"/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B63885" w:rsidRPr="00EB075E" w:rsidRDefault="00EB075E" w:rsidP="00EB0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7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Недостатки</w:t>
            </w:r>
          </w:p>
        </w:tc>
        <w:tc>
          <w:tcPr>
            <w:tcW w:w="2275" w:type="dxa"/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B63885" w:rsidRPr="00EB075E" w:rsidRDefault="00EB075E" w:rsidP="00EB0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07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</w:p>
        </w:tc>
      </w:tr>
      <w:tr w:rsidR="00D066D7" w:rsidRPr="00B63885" w:rsidTr="002E3250">
        <w:tc>
          <w:tcPr>
            <w:tcW w:w="1982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>Cisco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 xml:space="preserve"> ISE</w:t>
            </w:r>
          </w:p>
        </w:tc>
        <w:tc>
          <w:tcPr>
            <w:tcW w:w="268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Глубокая интеграция с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Cisco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, полный NAC, профилирование</w:t>
            </w:r>
          </w:p>
        </w:tc>
        <w:tc>
          <w:tcPr>
            <w:tcW w:w="212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Высокая стоимость, сложность,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vendor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lock-in</w:t>
            </w:r>
            <w:proofErr w:type="spellEnd"/>
          </w:p>
        </w:tc>
        <w:tc>
          <w:tcPr>
            <w:tcW w:w="22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Крупные сети на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Cisco</w:t>
            </w:r>
            <w:proofErr w:type="spellEnd"/>
          </w:p>
        </w:tc>
      </w:tr>
      <w:tr w:rsidR="00D066D7" w:rsidRPr="00B63885" w:rsidTr="002E3250">
        <w:tc>
          <w:tcPr>
            <w:tcW w:w="1982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>Microsoft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 xml:space="preserve">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>Entra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 xml:space="preserve"> ID</w:t>
            </w:r>
          </w:p>
        </w:tc>
        <w:tc>
          <w:tcPr>
            <w:tcW w:w="268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val="en-US"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Глубокая</w:t>
            </w: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val="en-US" w:eastAsia="ru-RU"/>
              </w:rPr>
              <w:t xml:space="preserve"> </w:t>
            </w: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интеграция</w:t>
            </w: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val="en-US" w:eastAsia="ru-RU"/>
              </w:rPr>
              <w:t xml:space="preserve"> </w:t>
            </w: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с</w:t>
            </w: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val="en-US" w:eastAsia="ru-RU"/>
              </w:rPr>
              <w:t xml:space="preserve"> M365/Azure, Conditional Access, Zero Trust</w:t>
            </w:r>
          </w:p>
        </w:tc>
        <w:tc>
          <w:tcPr>
            <w:tcW w:w="212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Ограничен вне экосистемы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Microsoft</w:t>
            </w:r>
            <w:proofErr w:type="spellEnd"/>
          </w:p>
        </w:tc>
        <w:tc>
          <w:tcPr>
            <w:tcW w:w="22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Гибридные среды на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Microsoft</w:t>
            </w:r>
            <w:proofErr w:type="spellEnd"/>
          </w:p>
        </w:tc>
      </w:tr>
      <w:tr w:rsidR="00D066D7" w:rsidRPr="00B63885" w:rsidTr="002E3250">
        <w:tc>
          <w:tcPr>
            <w:tcW w:w="1982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>Okta</w:t>
            </w:r>
            <w:proofErr w:type="spellEnd"/>
          </w:p>
        </w:tc>
        <w:tc>
          <w:tcPr>
            <w:tcW w:w="268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Гибкость, огромное число </w:t>
            </w: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SaaS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-интеграций, простота</w:t>
            </w:r>
          </w:p>
        </w:tc>
        <w:tc>
          <w:tcPr>
            <w:tcW w:w="212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Высокая стоимость, не заменяет NAC</w:t>
            </w:r>
          </w:p>
        </w:tc>
        <w:tc>
          <w:tcPr>
            <w:tcW w:w="22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Мультиоблачные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 xml:space="preserve"> среды</w:t>
            </w:r>
          </w:p>
        </w:tc>
      </w:tr>
      <w:tr w:rsidR="00D066D7" w:rsidRPr="00B63885" w:rsidTr="002E3250">
        <w:tc>
          <w:tcPr>
            <w:tcW w:w="1982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11827"/>
                <w:spacing w:val="5"/>
                <w:sz w:val="28"/>
                <w:szCs w:val="28"/>
                <w:bdr w:val="single" w:sz="2" w:space="0" w:color="E3E3E3" w:frame="1"/>
                <w:lang w:eastAsia="ru-RU"/>
              </w:rPr>
              <w:t>FreeRADIUS</w:t>
            </w:r>
            <w:proofErr w:type="spellEnd"/>
          </w:p>
        </w:tc>
        <w:tc>
          <w:tcPr>
            <w:tcW w:w="268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proofErr w:type="spellStart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Open-source</w:t>
            </w:r>
            <w:proofErr w:type="spellEnd"/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, бесплатный, гибкий</w:t>
            </w:r>
          </w:p>
        </w:tc>
        <w:tc>
          <w:tcPr>
            <w:tcW w:w="2126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Требует высокой квалификации, нет GUI</w:t>
            </w:r>
          </w:p>
        </w:tc>
        <w:tc>
          <w:tcPr>
            <w:tcW w:w="22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B63885" w:rsidRPr="00B63885" w:rsidRDefault="00B63885" w:rsidP="009305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</w:pPr>
            <w:r w:rsidRPr="00B63885">
              <w:rPr>
                <w:rFonts w:ascii="Times New Roman" w:eastAsia="Times New Roman" w:hAnsi="Times New Roman" w:cs="Times New Roman"/>
                <w:color w:val="1D1D20"/>
                <w:spacing w:val="-5"/>
                <w:sz w:val="28"/>
                <w:szCs w:val="28"/>
                <w:lang w:eastAsia="ru-RU"/>
              </w:rPr>
              <w:t>Бюджетные проекты, кастомизация</w:t>
            </w:r>
          </w:p>
        </w:tc>
      </w:tr>
    </w:tbl>
    <w:p w:rsidR="0093057C" w:rsidRDefault="0093057C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Для среднего предприятия, стремящегося к балансу между эффективностью и стоимостью, оптимальным выбором становится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гибридная архитектура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: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FreeRADIUS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в качестве RADIUS-сервера,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 xml:space="preserve">интегрированный с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Active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Directory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, и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Microsoft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Entra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ID в качестве центра идентичности для облачных приложений и условного доступа.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2.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Case-study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: 12-недельный проект внедрения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Проект реализован в четыре этапа:</w:t>
      </w:r>
    </w:p>
    <w:p w:rsidR="00B63885" w:rsidRPr="00B63885" w:rsidRDefault="00B63885" w:rsidP="0093057C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Анализ и аудит (недели 1–3):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Инвентаризация устройств, анализ политик, формирование ТЗ с требованиями: 802.1X, MFA, централизованный учёт, поддержка удалённых пользователей.</w:t>
      </w:r>
    </w:p>
    <w:p w:rsidR="00B63885" w:rsidRPr="00B63885" w:rsidRDefault="00B63885" w:rsidP="0093057C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Проектирование (недели 4–5):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Архитектура на базе 802.1X +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FreeRADIUS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+ AD. Проводной доступ — EAP-TLS (сертификаты),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Wi-Fi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— PEAP-MSCHAPv2 + MFA. Удалённый доступ — ZTNA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Cloudflare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вместо VPN.</w:t>
      </w:r>
    </w:p>
    <w:p w:rsidR="00B63885" w:rsidRPr="00B63885" w:rsidRDefault="00B63885" w:rsidP="0093057C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Тестирование (недели 6–8):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Пилот в IT-отделе (30 пользователей). Выявлены проблемы: старые устройства без 802.1X (решение — MAB), проблемы с сертификатами (решение — GPO), задержки на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Wi-Fi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(решение — оптимизация RADIUS).</w:t>
      </w:r>
    </w:p>
    <w:p w:rsidR="00B63885" w:rsidRPr="00B63885" w:rsidRDefault="00B63885" w:rsidP="0093057C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Развёртывание (недели 9–12):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Поэтапное внедрение: филиал 1 (150), центральный офис (300), филиал 2 (50). Обучение пользователей, автоматизация через GPO, интеграция с SIEM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Graylog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для аудита.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Результат: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Полное устранение инцидентов с несанкционированным доступом, сокращение времени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onboarding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до 1 часа, централизованный аудит всех попыток доступа.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3. Предложение улучшенной модели СУД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На основе анализа и практики предложена улучшенная модель СУД, соответствующая принципам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Zero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Trust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:</w:t>
      </w:r>
    </w:p>
    <w:p w:rsidR="00B63885" w:rsidRPr="00B63885" w:rsidRDefault="00B63885" w:rsidP="0093057C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Контекстно-зависимая авторизация (ABAC):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Политики учитывают не только роль, но и:</w:t>
      </w:r>
    </w:p>
    <w:p w:rsidR="00B63885" w:rsidRPr="00B63885" w:rsidRDefault="00B63885" w:rsidP="0093057C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Состояние устройства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(через MDM/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Intune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): наличие антивируса, актуальность ОС.</w:t>
      </w:r>
    </w:p>
    <w:p w:rsidR="00B63885" w:rsidRPr="00B63885" w:rsidRDefault="00B63885" w:rsidP="0093057C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Местоположение и время: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Ограничение доступа к чувствительным данным из-за границы или ночью.</w:t>
      </w:r>
    </w:p>
    <w:p w:rsidR="00B63885" w:rsidRPr="00B63885" w:rsidRDefault="00B63885" w:rsidP="0093057C">
      <w:pPr>
        <w:numPr>
          <w:ilvl w:val="1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lastRenderedPageBreak/>
        <w:t>Поведение пользователя (UEBA):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ИИ-анализ паттернов (время входа, типичные действия). При аномалии (например, массовое скачивание) — автоматическое повышение контроля (MFA) или блокировка.</w:t>
      </w:r>
    </w:p>
    <w:p w:rsidR="00B63885" w:rsidRPr="00B63885" w:rsidRDefault="00B63885" w:rsidP="0093057C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Беспарольная аутентификация (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Passwordless</w:t>
      </w:r>
      <w:proofErr w:type="spellEnd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):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Постепенный переход от паролей к FIDO2-ключам и Windows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Hello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.</w:t>
      </w:r>
    </w:p>
    <w:p w:rsidR="00B63885" w:rsidRPr="00B63885" w:rsidRDefault="00B63885" w:rsidP="0093057C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ZTNA вместо VPN: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Обеспечение безопасного доступа к приложениям без открытия всей сети.</w:t>
      </w:r>
    </w:p>
    <w:p w:rsidR="00B63885" w:rsidRPr="00B63885" w:rsidRDefault="00B63885" w:rsidP="0093057C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Централизованный аудит: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Интеграция всех логов (сеть, IAM, SIEM) для полного видения.</w:t>
      </w:r>
    </w:p>
    <w:p w:rsidR="002E3250" w:rsidRDefault="002E3250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B63885" w:rsidRDefault="00B63885" w:rsidP="002E3250">
      <w:pPr>
        <w:shd w:val="clear" w:color="auto" w:fill="FFFFFF"/>
        <w:spacing w:after="0" w:line="36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  <w:t>Заключение: путь к адаптивной и интеллектуальной безопасности</w:t>
      </w:r>
    </w:p>
    <w:p w:rsidR="002E3250" w:rsidRPr="00B63885" w:rsidRDefault="002E3250" w:rsidP="002E3250">
      <w:pPr>
        <w:shd w:val="clear" w:color="auto" w:fill="FFFFFF"/>
        <w:spacing w:after="0" w:line="36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Системы управления доступом прошли долгий путь — от простых списков доступа до сложных, интеллектуальных архитектур. Будущее за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 xml:space="preserve">адаптивными, децентрализованными и </w:t>
      </w: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user-centric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системами.</w:t>
      </w:r>
    </w:p>
    <w:p w:rsidR="00B63885" w:rsidRPr="00B63885" w:rsidRDefault="00B63885" w:rsidP="0093057C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Искусственный интеллект (UEBA)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позволит переходить от статических политик к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непрерывной аутентификации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где доверие пересматривается в реальном времени.</w:t>
      </w:r>
    </w:p>
    <w:p w:rsidR="00B63885" w:rsidRPr="00B63885" w:rsidRDefault="00B63885" w:rsidP="0093057C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Децентрализованные идентификаторы (DID)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на основе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блокчейн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-технологий дадут пользователям контроль над своей цифровой идентичностью, сократив зависимость от централизованных каталогов.</w:t>
      </w:r>
    </w:p>
    <w:p w:rsidR="00B63885" w:rsidRPr="00B63885" w:rsidRDefault="00B63885" w:rsidP="0093057C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proofErr w:type="spellStart"/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Блокчейн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может обеспечить неизменяемый аудит и смарт-контракты для автоматического управления доступом.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Однако эти технологии пока находятся на стадии развития. Сегодняшняя задача — построить </w:t>
      </w: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гибридную, практичную и масштабируемую СУД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на основе проверенных решений: 802.1X, RADIUS, IAM, MFA и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Conditional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Access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lastRenderedPageBreak/>
        <w:t xml:space="preserve">Предложенная в данной статье модель, сочетающая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open-source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компоненты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FreeRADIUS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) с облачными платформами (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Entra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ID) и принципами ABAC/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Zero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Trust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является реалистичным и эффективным решением для современных организаций. Она не требует огромных инвестиций, но кардинально повышает уровень безопасности, превращая систему управления доступом из технической задачи в стратегический актив.</w:t>
      </w: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111827"/>
          <w:spacing w:val="5"/>
          <w:sz w:val="28"/>
          <w:szCs w:val="28"/>
          <w:lang w:eastAsia="ru-RU"/>
        </w:rPr>
        <w:t>Ключевой вывод: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 Безопасность больше не заканчивается на границе сети. Она начинается с идентичности и продолжается на каждом этапе взаимодействия. Построение эффективной СУД — не проект, а непрерывный процесс адаптации к новым угрозам и технологиям.</w:t>
      </w:r>
    </w:p>
    <w:p w:rsidR="00451E3B" w:rsidRDefault="00451E3B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B63885" w:rsidRPr="00B63885" w:rsidRDefault="00B63885" w:rsidP="0093057C">
      <w:pPr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2C2C36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  <w:t>Список использованных источников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 xml:space="preserve">Ворона В.А., Тихонов В.А. Системы контроля и управления доступом. — М.: Горячая линия-Телеком, 2010. 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Соловьев В.Д. Модели управления доступом: вопросы теории и реализации. — СПб.: Питер, 2018.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Bishop M. Computer Security: Art and Science. — 2nd ed. — Addison-Wesley, 2019.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ГОСТ Р ИСО/МЭК 27001-2021. Информационная технология. Методы и средства обеспечения безопасности. Системы менеджмента информационной безопасности. Требования.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NIST SP 800-207. Zero Trust Architecture.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2020.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FIDO Alliance.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Passwordless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Authentication: The Future of Online Security.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2022.</w:t>
      </w:r>
      <w:bookmarkStart w:id="0" w:name="_GoBack"/>
      <w:bookmarkEnd w:id="0"/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Saltzer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J.H., Schroeder M.D. The Protection of Information in Computer Systems.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1975.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Kindervag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 J. Building the No-Perimeter Security Model.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Forrester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2010.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lastRenderedPageBreak/>
        <w:t xml:space="preserve">Beyer B. et al.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>BeyondCorp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: A New Approach to Enterprise Security. </w:t>
      </w:r>
      <w:proofErr w:type="spellStart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Google</w:t>
      </w:r>
      <w:proofErr w:type="spellEnd"/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, 2015.</w:t>
      </w:r>
    </w:p>
    <w:p w:rsidR="00B63885" w:rsidRPr="00B63885" w:rsidRDefault="00B63885" w:rsidP="0093057C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val="en-US" w:eastAsia="ru-RU"/>
        </w:rPr>
        <w:t xml:space="preserve">Gartner. Market Guide for Identity and Access Management. </w:t>
      </w:r>
      <w:r w:rsidRPr="00B63885"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  <w:t>2023.</w:t>
      </w:r>
    </w:p>
    <w:p w:rsidR="00BB5CE7" w:rsidRPr="00D066D7" w:rsidRDefault="00BB5CE7" w:rsidP="009305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B5CE7" w:rsidRPr="00D066D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9AB" w:rsidRDefault="004B29AB" w:rsidP="00451E3B">
      <w:pPr>
        <w:spacing w:after="0" w:line="240" w:lineRule="auto"/>
      </w:pPr>
      <w:r>
        <w:separator/>
      </w:r>
    </w:p>
  </w:endnote>
  <w:endnote w:type="continuationSeparator" w:id="0">
    <w:p w:rsidR="004B29AB" w:rsidRDefault="004B29AB" w:rsidP="0045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572617"/>
      <w:docPartObj>
        <w:docPartGallery w:val="Page Numbers (Bottom of Page)"/>
        <w:docPartUnique/>
      </w:docPartObj>
    </w:sdtPr>
    <w:sdtContent>
      <w:p w:rsidR="00451E3B" w:rsidRDefault="00451E3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51E3B" w:rsidRDefault="00451E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9AB" w:rsidRDefault="004B29AB" w:rsidP="00451E3B">
      <w:pPr>
        <w:spacing w:after="0" w:line="240" w:lineRule="auto"/>
      </w:pPr>
      <w:r>
        <w:separator/>
      </w:r>
    </w:p>
  </w:footnote>
  <w:footnote w:type="continuationSeparator" w:id="0">
    <w:p w:rsidR="004B29AB" w:rsidRDefault="004B29AB" w:rsidP="00451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670D"/>
    <w:multiLevelType w:val="multilevel"/>
    <w:tmpl w:val="6CD4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733F10"/>
    <w:multiLevelType w:val="multilevel"/>
    <w:tmpl w:val="0028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DC1ADC"/>
    <w:multiLevelType w:val="multilevel"/>
    <w:tmpl w:val="5382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A402D1"/>
    <w:multiLevelType w:val="multilevel"/>
    <w:tmpl w:val="7AC6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347882"/>
    <w:multiLevelType w:val="multilevel"/>
    <w:tmpl w:val="A8BA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215942"/>
    <w:multiLevelType w:val="multilevel"/>
    <w:tmpl w:val="F7F6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82195"/>
    <w:multiLevelType w:val="multilevel"/>
    <w:tmpl w:val="30B61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885"/>
    <w:rsid w:val="002E3250"/>
    <w:rsid w:val="00451E3B"/>
    <w:rsid w:val="00456716"/>
    <w:rsid w:val="004B29AB"/>
    <w:rsid w:val="0093057C"/>
    <w:rsid w:val="00B63885"/>
    <w:rsid w:val="00BB5CE7"/>
    <w:rsid w:val="00D066D7"/>
    <w:rsid w:val="00D502E5"/>
    <w:rsid w:val="00EB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6FD9C"/>
  <w15:chartTrackingRefBased/>
  <w15:docId w15:val="{AB0B0084-6BAF-4C44-90D9-18A8557B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38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638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38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3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hitespace-pre-wrap">
    <w:name w:val="whitespace-pre-wrap"/>
    <w:basedOn w:val="a"/>
    <w:rsid w:val="00B6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flex">
    <w:name w:val="inline-flex"/>
    <w:basedOn w:val="a0"/>
    <w:rsid w:val="00B63885"/>
  </w:style>
  <w:style w:type="paragraph" w:styleId="a3">
    <w:name w:val="Normal (Web)"/>
    <w:basedOn w:val="a"/>
    <w:uiPriority w:val="99"/>
    <w:semiHidden/>
    <w:unhideWhenUsed/>
    <w:rsid w:val="00B63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3885"/>
    <w:rPr>
      <w:b/>
      <w:bCs/>
    </w:rPr>
  </w:style>
  <w:style w:type="character" w:styleId="a5">
    <w:name w:val="Emphasis"/>
    <w:basedOn w:val="a0"/>
    <w:uiPriority w:val="20"/>
    <w:qFormat/>
    <w:rsid w:val="00B63885"/>
    <w:rPr>
      <w:i/>
      <w:iCs/>
    </w:rPr>
  </w:style>
  <w:style w:type="character" w:styleId="a6">
    <w:name w:val="Hyperlink"/>
    <w:basedOn w:val="a0"/>
    <w:uiPriority w:val="99"/>
    <w:semiHidden/>
    <w:unhideWhenUsed/>
    <w:rsid w:val="00B63885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B63885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451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1E3B"/>
  </w:style>
  <w:style w:type="paragraph" w:styleId="a9">
    <w:name w:val="footer"/>
    <w:basedOn w:val="a"/>
    <w:link w:val="aa"/>
    <w:uiPriority w:val="99"/>
    <w:unhideWhenUsed/>
    <w:rsid w:val="00451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1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6370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3658525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362417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19198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4060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74144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79649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7384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95208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321747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04625233">
                      <w:marLeft w:val="0"/>
                      <w:marRight w:val="15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8802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  <w:div w:id="10196195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0918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1287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8372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2437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12692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2840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26415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7689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97244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2168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1E3EA"/>
                                            <w:left w:val="single" w:sz="4" w:space="0" w:color="E1E3EA"/>
                                            <w:bottom w:val="single" w:sz="4" w:space="0" w:color="E1E3EA"/>
                                            <w:right w:val="single" w:sz="4" w:space="0" w:color="E1E3EA"/>
                                          </w:divBdr>
                                          <w:divsChild>
                                            <w:div w:id="14362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938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2822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36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481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945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967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811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199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7399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1363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346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567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540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5190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3715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none" w:sz="0" w:space="0" w:color="auto"/>
                                                    <w:bottom w:val="single" w:sz="2" w:space="0" w:color="E3E3E3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4838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25019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rkova.aa@ipk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</dc:creator>
  <cp:keywords/>
  <dc:description/>
  <cp:lastModifiedBy>Алесандр Бедов</cp:lastModifiedBy>
  <cp:revision>6</cp:revision>
  <dcterms:created xsi:type="dcterms:W3CDTF">2025-08-04T03:13:00Z</dcterms:created>
  <dcterms:modified xsi:type="dcterms:W3CDTF">2026-04-13T06:30:00Z</dcterms:modified>
</cp:coreProperties>
</file>