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D0A" w:rsidRPr="00C30D0A" w:rsidRDefault="00C30D0A" w:rsidP="00C30D0A">
      <w:pPr>
        <w:jc w:val="right"/>
        <w:rPr>
          <w:b/>
          <w:i/>
          <w:sz w:val="28"/>
          <w:szCs w:val="28"/>
        </w:rPr>
      </w:pPr>
      <w:r w:rsidRPr="00C30D0A">
        <w:rPr>
          <w:b/>
          <w:i/>
          <w:sz w:val="28"/>
          <w:szCs w:val="28"/>
        </w:rPr>
        <w:t>Поскрёбышева Елена Владимировна,</w:t>
      </w:r>
    </w:p>
    <w:p w:rsidR="00C30D0A" w:rsidRPr="00C30D0A" w:rsidRDefault="00C30D0A" w:rsidP="00C30D0A">
      <w:pPr>
        <w:jc w:val="right"/>
        <w:rPr>
          <w:b/>
          <w:i/>
          <w:sz w:val="28"/>
          <w:szCs w:val="28"/>
        </w:rPr>
      </w:pPr>
      <w:r w:rsidRPr="00C30D0A">
        <w:rPr>
          <w:b/>
          <w:i/>
          <w:sz w:val="28"/>
          <w:szCs w:val="28"/>
        </w:rPr>
        <w:t>воспитатель МКДОУ д/с «Алёнушка»</w:t>
      </w:r>
    </w:p>
    <w:p w:rsidR="00C30D0A" w:rsidRPr="00C30D0A" w:rsidRDefault="00C30D0A" w:rsidP="00C30D0A">
      <w:pPr>
        <w:jc w:val="right"/>
        <w:rPr>
          <w:b/>
          <w:i/>
          <w:sz w:val="28"/>
          <w:szCs w:val="28"/>
        </w:rPr>
      </w:pPr>
      <w:r w:rsidRPr="00C30D0A">
        <w:rPr>
          <w:b/>
          <w:i/>
          <w:sz w:val="28"/>
          <w:szCs w:val="28"/>
        </w:rPr>
        <w:t>города Слободского Кировской области</w:t>
      </w:r>
    </w:p>
    <w:p w:rsidR="00C30D0A" w:rsidRDefault="00C30D0A" w:rsidP="00C30D0A">
      <w:pPr>
        <w:jc w:val="center"/>
        <w:rPr>
          <w:b/>
          <w:sz w:val="28"/>
          <w:szCs w:val="28"/>
        </w:rPr>
      </w:pPr>
    </w:p>
    <w:p w:rsidR="00C30D0A" w:rsidRPr="00C30D0A" w:rsidRDefault="00C30D0A" w:rsidP="00C30D0A">
      <w:pPr>
        <w:jc w:val="center"/>
        <w:rPr>
          <w:b/>
          <w:sz w:val="28"/>
          <w:szCs w:val="28"/>
        </w:rPr>
      </w:pPr>
      <w:r w:rsidRPr="00C30D0A">
        <w:rPr>
          <w:b/>
          <w:sz w:val="28"/>
          <w:szCs w:val="28"/>
        </w:rPr>
        <w:t>Ознакомление детей дошкольного возраста с народами России посредством народных подвижных игр</w:t>
      </w:r>
    </w:p>
    <w:p w:rsidR="00C30D0A" w:rsidRPr="00C30D0A" w:rsidRDefault="00C30D0A" w:rsidP="00C30D0A">
      <w:pPr>
        <w:ind w:firstLine="708"/>
        <w:jc w:val="both"/>
        <w:rPr>
          <w:sz w:val="28"/>
          <w:szCs w:val="28"/>
        </w:rPr>
      </w:pPr>
      <w:r w:rsidRPr="00C30D0A">
        <w:rPr>
          <w:sz w:val="28"/>
          <w:szCs w:val="28"/>
        </w:rPr>
        <w:t>В условиях поликультурного пространства современной России формирование уважительного отношения к этнокультурному разнообразию становится приоритетной задачей дошкольного образования. Согласно Стратегии государственной национальной политики РФ и Федеральной образовательной программе дошкольного образования (ФОП ДО), ключевыми направлениями выступают воспитание гражданской идентичности, культуры межнационального общения и интереса к традициям народов России</w:t>
      </w:r>
      <w:r>
        <w:rPr>
          <w:sz w:val="28"/>
          <w:szCs w:val="28"/>
        </w:rPr>
        <w:t>.</w:t>
      </w:r>
    </w:p>
    <w:p w:rsidR="00C30D0A" w:rsidRPr="00C30D0A" w:rsidRDefault="00C30D0A" w:rsidP="00C30D0A">
      <w:pPr>
        <w:ind w:firstLine="708"/>
        <w:jc w:val="both"/>
        <w:rPr>
          <w:sz w:val="28"/>
          <w:szCs w:val="28"/>
        </w:rPr>
      </w:pPr>
      <w:r w:rsidRPr="00C30D0A">
        <w:rPr>
          <w:sz w:val="28"/>
          <w:szCs w:val="28"/>
        </w:rPr>
        <w:t xml:space="preserve">Народная подвижная игра представляет собой эффективное средство решения данных задач. Как отмечает М.Ф. Литвинова, такие игры обладают признаками традиционности, территориальной распространённости и </w:t>
      </w:r>
      <w:proofErr w:type="spellStart"/>
      <w:r w:rsidRPr="00C30D0A">
        <w:rPr>
          <w:sz w:val="28"/>
          <w:szCs w:val="28"/>
        </w:rPr>
        <w:t>укоренённости</w:t>
      </w:r>
      <w:proofErr w:type="spellEnd"/>
      <w:r w:rsidRPr="00C30D0A">
        <w:rPr>
          <w:sz w:val="28"/>
          <w:szCs w:val="28"/>
        </w:rPr>
        <w:t xml:space="preserve"> в культурной практике, что делает их ценным ресурсом для приобщения д</w:t>
      </w:r>
      <w:r>
        <w:rPr>
          <w:sz w:val="28"/>
          <w:szCs w:val="28"/>
        </w:rPr>
        <w:t xml:space="preserve">етей к этнокультурному наследию. </w:t>
      </w:r>
      <w:r w:rsidRPr="00C30D0A">
        <w:rPr>
          <w:sz w:val="28"/>
          <w:szCs w:val="28"/>
        </w:rPr>
        <w:t>В игровой форме дошкольники естественно усваивают нормы взаимодействия, обогащают словарный запас, развивают коммуникативные навыки и формируют позитивное восприятие культурного многообразия.</w:t>
      </w:r>
    </w:p>
    <w:p w:rsidR="00C30D0A" w:rsidRPr="00C30D0A" w:rsidRDefault="00C30D0A" w:rsidP="00C30D0A">
      <w:pPr>
        <w:jc w:val="both"/>
        <w:rPr>
          <w:b/>
          <w:i/>
          <w:sz w:val="28"/>
          <w:szCs w:val="28"/>
        </w:rPr>
      </w:pPr>
      <w:r w:rsidRPr="00C30D0A">
        <w:rPr>
          <w:b/>
          <w:i/>
          <w:sz w:val="28"/>
          <w:szCs w:val="28"/>
        </w:rPr>
        <w:t>Организация педагогической работы</w:t>
      </w:r>
    </w:p>
    <w:p w:rsidR="00C30D0A" w:rsidRPr="00C30D0A" w:rsidRDefault="00C30D0A" w:rsidP="00C30D0A">
      <w:pPr>
        <w:ind w:firstLine="708"/>
        <w:jc w:val="both"/>
        <w:rPr>
          <w:sz w:val="28"/>
          <w:szCs w:val="28"/>
        </w:rPr>
      </w:pPr>
      <w:r w:rsidRPr="00C30D0A">
        <w:rPr>
          <w:sz w:val="28"/>
          <w:szCs w:val="28"/>
        </w:rPr>
        <w:t xml:space="preserve">Практическая реализация направления осуществлялась в соответствии с принципами систематичности, последовательности, учёта возрастных и индивидуальных особенностей детей. На основе методических пособий О.Л. Князевой, М.Д. </w:t>
      </w:r>
      <w:proofErr w:type="spellStart"/>
      <w:r w:rsidRPr="00C30D0A">
        <w:rPr>
          <w:sz w:val="28"/>
          <w:szCs w:val="28"/>
        </w:rPr>
        <w:t>М</w:t>
      </w:r>
      <w:r>
        <w:rPr>
          <w:sz w:val="28"/>
          <w:szCs w:val="28"/>
        </w:rPr>
        <w:t>аханевой</w:t>
      </w:r>
      <w:proofErr w:type="spellEnd"/>
      <w:r>
        <w:rPr>
          <w:sz w:val="28"/>
          <w:szCs w:val="28"/>
        </w:rPr>
        <w:t xml:space="preserve">, Э.Х. </w:t>
      </w:r>
      <w:proofErr w:type="spellStart"/>
      <w:r>
        <w:rPr>
          <w:sz w:val="28"/>
          <w:szCs w:val="28"/>
        </w:rPr>
        <w:t>Халеева</w:t>
      </w:r>
      <w:proofErr w:type="spellEnd"/>
      <w:r w:rsidRPr="00C30D0A">
        <w:rPr>
          <w:sz w:val="28"/>
          <w:szCs w:val="28"/>
        </w:rPr>
        <w:t xml:space="preserve"> был составлен перспективный план, включающий игры четырёх народов: русских, татар, чувашей, башкир. Выбор обусловлен </w:t>
      </w:r>
      <w:proofErr w:type="spellStart"/>
      <w:r w:rsidRPr="00C30D0A">
        <w:rPr>
          <w:sz w:val="28"/>
          <w:szCs w:val="28"/>
        </w:rPr>
        <w:t>этнодемографической</w:t>
      </w:r>
      <w:proofErr w:type="spellEnd"/>
      <w:r w:rsidRPr="00C30D0A">
        <w:rPr>
          <w:sz w:val="28"/>
          <w:szCs w:val="28"/>
        </w:rPr>
        <w:t xml:space="preserve"> спецификой Кировской области и её географическим соседством с регионами проживания данных этносов.</w:t>
      </w:r>
    </w:p>
    <w:p w:rsidR="00C30D0A" w:rsidRPr="00C30D0A" w:rsidRDefault="00C30D0A" w:rsidP="00C30D0A">
      <w:pPr>
        <w:jc w:val="both"/>
        <w:rPr>
          <w:b/>
          <w:i/>
          <w:sz w:val="28"/>
          <w:szCs w:val="28"/>
        </w:rPr>
      </w:pPr>
      <w:r w:rsidRPr="00C30D0A">
        <w:rPr>
          <w:b/>
          <w:i/>
          <w:sz w:val="28"/>
          <w:szCs w:val="28"/>
        </w:rPr>
        <w:t>Работа строилась поэтапно:</w:t>
      </w:r>
    </w:p>
    <w:p w:rsidR="00C30D0A" w:rsidRPr="00C30D0A" w:rsidRDefault="00C30D0A" w:rsidP="00C30D0A">
      <w:pPr>
        <w:ind w:firstLine="708"/>
        <w:jc w:val="both"/>
        <w:rPr>
          <w:sz w:val="28"/>
          <w:szCs w:val="28"/>
        </w:rPr>
      </w:pPr>
      <w:r w:rsidRPr="00C30D0A">
        <w:rPr>
          <w:sz w:val="28"/>
          <w:szCs w:val="28"/>
        </w:rPr>
        <w:t xml:space="preserve">Предварительный этап — беседы о культуре, традициях, особенностях быта народов, разучивание считалок и </w:t>
      </w:r>
      <w:proofErr w:type="spellStart"/>
      <w:r w:rsidRPr="00C30D0A">
        <w:rPr>
          <w:sz w:val="28"/>
          <w:szCs w:val="28"/>
        </w:rPr>
        <w:t>закличек</w:t>
      </w:r>
      <w:proofErr w:type="spellEnd"/>
      <w:r w:rsidRPr="00C30D0A">
        <w:rPr>
          <w:sz w:val="28"/>
          <w:szCs w:val="28"/>
        </w:rPr>
        <w:t xml:space="preserve"> на русском и национальных языках.</w:t>
      </w:r>
    </w:p>
    <w:p w:rsidR="00C30D0A" w:rsidRPr="00C30D0A" w:rsidRDefault="00C30D0A" w:rsidP="00C30D0A">
      <w:pPr>
        <w:jc w:val="both"/>
        <w:rPr>
          <w:sz w:val="28"/>
          <w:szCs w:val="28"/>
        </w:rPr>
      </w:pPr>
      <w:r w:rsidRPr="00C30D0A">
        <w:rPr>
          <w:sz w:val="28"/>
          <w:szCs w:val="28"/>
        </w:rPr>
        <w:t>Основной этап — еженедельное разучивание подвижных игр с использованием наглядных материалов, атрибутов, элементов народных костюмов и музыкального сопровождения.</w:t>
      </w:r>
    </w:p>
    <w:p w:rsidR="00C30D0A" w:rsidRPr="00C30D0A" w:rsidRDefault="00C30D0A" w:rsidP="00C30D0A">
      <w:pPr>
        <w:ind w:firstLine="708"/>
        <w:jc w:val="both"/>
        <w:rPr>
          <w:sz w:val="28"/>
          <w:szCs w:val="28"/>
        </w:rPr>
      </w:pPr>
      <w:r w:rsidRPr="00C30D0A">
        <w:rPr>
          <w:sz w:val="28"/>
          <w:szCs w:val="28"/>
        </w:rPr>
        <w:t>Закрепление — включение игр в режимные моменты (прогулки, физкультурные занятия, свободная деятельность) и проведение итогового развлечения.</w:t>
      </w:r>
    </w:p>
    <w:p w:rsidR="00C30D0A" w:rsidRPr="00C30D0A" w:rsidRDefault="00C30D0A" w:rsidP="00C30D0A">
      <w:pPr>
        <w:jc w:val="both"/>
        <w:rPr>
          <w:sz w:val="28"/>
          <w:szCs w:val="28"/>
        </w:rPr>
      </w:pPr>
      <w:r w:rsidRPr="00C30D0A">
        <w:rPr>
          <w:sz w:val="28"/>
          <w:szCs w:val="28"/>
        </w:rPr>
        <w:t>Результаты и наблюдения</w:t>
      </w:r>
    </w:p>
    <w:p w:rsidR="00C30D0A" w:rsidRPr="00C30D0A" w:rsidRDefault="00C30D0A" w:rsidP="00C30D0A">
      <w:pPr>
        <w:ind w:firstLine="708"/>
        <w:jc w:val="both"/>
        <w:rPr>
          <w:sz w:val="28"/>
          <w:szCs w:val="28"/>
        </w:rPr>
      </w:pPr>
      <w:r w:rsidRPr="00C30D0A">
        <w:rPr>
          <w:sz w:val="28"/>
          <w:szCs w:val="28"/>
        </w:rPr>
        <w:t xml:space="preserve">Наиболее доступными для восприятия оказались русские народные игры («Гори, гори ясно», «Дедушка </w:t>
      </w:r>
      <w:proofErr w:type="spellStart"/>
      <w:r w:rsidRPr="00C30D0A">
        <w:rPr>
          <w:sz w:val="28"/>
          <w:szCs w:val="28"/>
        </w:rPr>
        <w:t>Мазай</w:t>
      </w:r>
      <w:proofErr w:type="spellEnd"/>
      <w:r w:rsidRPr="00C30D0A">
        <w:rPr>
          <w:sz w:val="28"/>
          <w:szCs w:val="28"/>
        </w:rPr>
        <w:t>»), что объясняется их близостью к повседневной культурной среде детей. Игры татарского народа («</w:t>
      </w:r>
      <w:proofErr w:type="spellStart"/>
      <w:r w:rsidRPr="00C30D0A">
        <w:rPr>
          <w:sz w:val="28"/>
          <w:szCs w:val="28"/>
        </w:rPr>
        <w:t>Чулмак</w:t>
      </w:r>
      <w:proofErr w:type="spellEnd"/>
      <w:r w:rsidRPr="00C30D0A">
        <w:rPr>
          <w:sz w:val="28"/>
          <w:szCs w:val="28"/>
        </w:rPr>
        <w:t xml:space="preserve"> </w:t>
      </w:r>
      <w:proofErr w:type="spellStart"/>
      <w:r w:rsidRPr="00C30D0A">
        <w:rPr>
          <w:sz w:val="28"/>
          <w:szCs w:val="28"/>
        </w:rPr>
        <w:t>уены</w:t>
      </w:r>
      <w:proofErr w:type="spellEnd"/>
      <w:r w:rsidRPr="00C30D0A">
        <w:rPr>
          <w:sz w:val="28"/>
          <w:szCs w:val="28"/>
        </w:rPr>
        <w:t>», «Одень тюбетейку») также вызвали высокий интерес благодаря яркой атрибутике и динамичному сюжету.</w:t>
      </w:r>
    </w:p>
    <w:p w:rsidR="00C30D0A" w:rsidRPr="00C30D0A" w:rsidRDefault="00C30D0A" w:rsidP="00C30D0A">
      <w:pPr>
        <w:ind w:firstLine="708"/>
        <w:jc w:val="both"/>
        <w:rPr>
          <w:sz w:val="28"/>
          <w:szCs w:val="28"/>
        </w:rPr>
      </w:pPr>
      <w:r w:rsidRPr="00C30D0A">
        <w:rPr>
          <w:sz w:val="28"/>
          <w:szCs w:val="28"/>
        </w:rPr>
        <w:lastRenderedPageBreak/>
        <w:t>Определённые трудности возникли при освоении чувашских и башкирских игр («Хищник в море», «Луна или солнце»), связанные со сложностью правил и фонетическими особенностями национальных слов. Для преодоления барьеров использовались визуальные опоры, многократное повторение и игровые приёмы, что позволило сохранить мотивацию детей.</w:t>
      </w:r>
    </w:p>
    <w:p w:rsidR="00C30D0A" w:rsidRPr="00C30D0A" w:rsidRDefault="00C30D0A" w:rsidP="00C30D0A">
      <w:pPr>
        <w:ind w:firstLine="708"/>
        <w:jc w:val="both"/>
        <w:rPr>
          <w:sz w:val="28"/>
          <w:szCs w:val="28"/>
        </w:rPr>
      </w:pPr>
      <w:r w:rsidRPr="00C30D0A">
        <w:rPr>
          <w:sz w:val="28"/>
          <w:szCs w:val="28"/>
        </w:rPr>
        <w:t>Речевой компонент игр требовал особого внимания: для облегчения усвоения вербальных инструкций применялись карточки-схемы, жестовое сопровождение и поэтапное объяснение правил.</w:t>
      </w:r>
    </w:p>
    <w:p w:rsidR="00C30D0A" w:rsidRPr="00C30D0A" w:rsidRDefault="00C30D0A" w:rsidP="00C30D0A">
      <w:pPr>
        <w:jc w:val="both"/>
        <w:rPr>
          <w:b/>
          <w:i/>
          <w:sz w:val="28"/>
          <w:szCs w:val="28"/>
        </w:rPr>
      </w:pPr>
      <w:r w:rsidRPr="00C30D0A">
        <w:rPr>
          <w:b/>
          <w:i/>
          <w:sz w:val="28"/>
          <w:szCs w:val="28"/>
        </w:rPr>
        <w:t>Заключение</w:t>
      </w:r>
    </w:p>
    <w:p w:rsidR="00C30D0A" w:rsidRDefault="00C30D0A" w:rsidP="00C30D0A">
      <w:pPr>
        <w:ind w:firstLine="708"/>
        <w:jc w:val="both"/>
        <w:rPr>
          <w:sz w:val="28"/>
          <w:szCs w:val="28"/>
        </w:rPr>
      </w:pPr>
      <w:r w:rsidRPr="00C30D0A">
        <w:rPr>
          <w:sz w:val="28"/>
          <w:szCs w:val="28"/>
        </w:rPr>
        <w:t>По итогам реализации плана проведено итоговое развлечение «В мире народных подвижных игр», в ходе которого дети продемонстрировали знание названий игр, их этнической принадлежности, уверенно исполняли считалки и соблюдали правила. Полученные данные подтверждают, что народная подвижная игра является действенным средством ознакомления дошкольников с культурным многообразием России при условии:</w:t>
      </w:r>
      <w:r>
        <w:rPr>
          <w:sz w:val="28"/>
          <w:szCs w:val="28"/>
        </w:rPr>
        <w:t xml:space="preserve"> </w:t>
      </w:r>
    </w:p>
    <w:p w:rsidR="00C30D0A" w:rsidRPr="00C30D0A" w:rsidRDefault="00C30D0A" w:rsidP="00C30D0A">
      <w:pPr>
        <w:ind w:firstLine="708"/>
        <w:jc w:val="both"/>
        <w:rPr>
          <w:sz w:val="28"/>
          <w:szCs w:val="28"/>
        </w:rPr>
      </w:pPr>
      <w:r w:rsidRPr="00C30D0A">
        <w:rPr>
          <w:sz w:val="28"/>
          <w:szCs w:val="28"/>
        </w:rPr>
        <w:t>структурирования материала в соответствии с возрастными возможностями;</w:t>
      </w:r>
    </w:p>
    <w:p w:rsidR="00C30D0A" w:rsidRPr="00C30D0A" w:rsidRDefault="00C30D0A" w:rsidP="00C30D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0D0A">
        <w:rPr>
          <w:sz w:val="28"/>
          <w:szCs w:val="28"/>
        </w:rPr>
        <w:t>интеграции игрового, наглядного и словесного компонентов;</w:t>
      </w:r>
    </w:p>
    <w:p w:rsidR="00C30D0A" w:rsidRPr="00C30D0A" w:rsidRDefault="00C30D0A" w:rsidP="00C30D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GoBack"/>
      <w:bookmarkEnd w:id="0"/>
      <w:r w:rsidRPr="00C30D0A">
        <w:rPr>
          <w:sz w:val="28"/>
          <w:szCs w:val="28"/>
        </w:rPr>
        <w:t>создания эмоционально-насыщенной среды, отражающей этнокультурную специфику.</w:t>
      </w:r>
    </w:p>
    <w:p w:rsidR="00C30D0A" w:rsidRPr="00C30D0A" w:rsidRDefault="00C30D0A" w:rsidP="00C30D0A">
      <w:pPr>
        <w:ind w:firstLine="708"/>
        <w:jc w:val="both"/>
        <w:rPr>
          <w:sz w:val="28"/>
          <w:szCs w:val="28"/>
        </w:rPr>
      </w:pPr>
      <w:r w:rsidRPr="00C30D0A">
        <w:rPr>
          <w:sz w:val="28"/>
          <w:szCs w:val="28"/>
        </w:rPr>
        <w:t>Систематическое использование народных игр в образовательной практике способствует не только физическому и речевому развитию, но и формированию основ толерантности, уважения к традициям и чувства сопричастности к многонациональному Отечеству.</w:t>
      </w:r>
    </w:p>
    <w:p w:rsidR="00C30D0A" w:rsidRPr="00C30D0A" w:rsidRDefault="00C30D0A" w:rsidP="00C30D0A">
      <w:pPr>
        <w:jc w:val="center"/>
        <w:rPr>
          <w:b/>
          <w:i/>
          <w:sz w:val="28"/>
          <w:szCs w:val="28"/>
        </w:rPr>
      </w:pPr>
      <w:r w:rsidRPr="00C30D0A">
        <w:rPr>
          <w:b/>
          <w:i/>
          <w:sz w:val="28"/>
          <w:szCs w:val="28"/>
        </w:rPr>
        <w:t>Список литературы</w:t>
      </w:r>
    </w:p>
    <w:p w:rsidR="00C30D0A" w:rsidRPr="00C30D0A" w:rsidRDefault="00C30D0A" w:rsidP="00C30D0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30D0A">
        <w:rPr>
          <w:sz w:val="28"/>
          <w:szCs w:val="28"/>
        </w:rPr>
        <w:t xml:space="preserve">Указ Президента РФ от 19.12.2012 № 1666 «О Стратегии государственной национальной политики Российской Федерации на период до 2025 года» [Электронный ресурс]. – Режим доступа: </w:t>
      </w:r>
      <w:hyperlink r:id="rId5" w:history="1">
        <w:r w:rsidRPr="006148DF">
          <w:rPr>
            <w:rStyle w:val="a4"/>
            <w:sz w:val="28"/>
            <w:szCs w:val="28"/>
          </w:rPr>
          <w:t>https://base.garant.ru/70284810/</w:t>
        </w:r>
      </w:hyperlink>
      <w:r>
        <w:rPr>
          <w:sz w:val="28"/>
          <w:szCs w:val="28"/>
        </w:rPr>
        <w:t xml:space="preserve"> </w:t>
      </w:r>
    </w:p>
    <w:p w:rsidR="00C30D0A" w:rsidRPr="00C30D0A" w:rsidRDefault="00C30D0A" w:rsidP="00C30D0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30D0A">
        <w:rPr>
          <w:sz w:val="28"/>
          <w:szCs w:val="28"/>
        </w:rPr>
        <w:t xml:space="preserve">Приказ </w:t>
      </w:r>
      <w:proofErr w:type="spellStart"/>
      <w:r w:rsidRPr="00C30D0A">
        <w:rPr>
          <w:sz w:val="28"/>
          <w:szCs w:val="28"/>
        </w:rPr>
        <w:t>Минпросвещения</w:t>
      </w:r>
      <w:proofErr w:type="spellEnd"/>
      <w:r w:rsidRPr="00C30D0A">
        <w:rPr>
          <w:sz w:val="28"/>
          <w:szCs w:val="28"/>
        </w:rPr>
        <w:t xml:space="preserve"> России от 25.11.2022 № 1028 «Федеральная образовательная программа дошкольного образования».</w:t>
      </w:r>
    </w:p>
    <w:p w:rsidR="00C30D0A" w:rsidRPr="00C30D0A" w:rsidRDefault="00C30D0A" w:rsidP="00C30D0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30D0A">
        <w:rPr>
          <w:sz w:val="28"/>
          <w:szCs w:val="28"/>
        </w:rPr>
        <w:t xml:space="preserve">Князева О.Л., </w:t>
      </w:r>
      <w:proofErr w:type="spellStart"/>
      <w:r w:rsidRPr="00C30D0A">
        <w:rPr>
          <w:sz w:val="28"/>
          <w:szCs w:val="28"/>
        </w:rPr>
        <w:t>Маханева</w:t>
      </w:r>
      <w:proofErr w:type="spellEnd"/>
      <w:r w:rsidRPr="00C30D0A">
        <w:rPr>
          <w:sz w:val="28"/>
          <w:szCs w:val="28"/>
        </w:rPr>
        <w:t xml:space="preserve"> М.Д. Приобщение детей к истокам русской народной культуры. – СПб.: Детство-Пресс, 2020. – 304 с.</w:t>
      </w:r>
    </w:p>
    <w:p w:rsidR="00C30D0A" w:rsidRPr="00C30D0A" w:rsidRDefault="00C30D0A" w:rsidP="00C30D0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C30D0A">
        <w:rPr>
          <w:sz w:val="28"/>
          <w:szCs w:val="28"/>
        </w:rPr>
        <w:t>Маханева</w:t>
      </w:r>
      <w:proofErr w:type="spellEnd"/>
      <w:r w:rsidRPr="00C30D0A">
        <w:rPr>
          <w:sz w:val="28"/>
          <w:szCs w:val="28"/>
        </w:rPr>
        <w:t xml:space="preserve"> М.Д. Нравственно-патриотическое воспитание дошкольников. – М.: Сфера, 2010. – 96 с.</w:t>
      </w:r>
    </w:p>
    <w:p w:rsidR="00C30D0A" w:rsidRPr="00C30D0A" w:rsidRDefault="00C30D0A" w:rsidP="00C30D0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30D0A">
        <w:rPr>
          <w:sz w:val="28"/>
          <w:szCs w:val="28"/>
        </w:rPr>
        <w:t>Перепелкина А.В. Нравственно-патриотическое воспитание старших дошкольников. – Волгоград: Учитель, 2019. – 258 с.</w:t>
      </w:r>
    </w:p>
    <w:p w:rsidR="00C30D0A" w:rsidRPr="00C30D0A" w:rsidRDefault="00C30D0A" w:rsidP="00C30D0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C30D0A">
        <w:rPr>
          <w:sz w:val="28"/>
          <w:szCs w:val="28"/>
        </w:rPr>
        <w:t>Халеев</w:t>
      </w:r>
      <w:proofErr w:type="spellEnd"/>
      <w:r w:rsidRPr="00C30D0A">
        <w:rPr>
          <w:sz w:val="28"/>
          <w:szCs w:val="28"/>
        </w:rPr>
        <w:t xml:space="preserve"> Э.Х., </w:t>
      </w:r>
      <w:proofErr w:type="spellStart"/>
      <w:r w:rsidRPr="00C30D0A">
        <w:rPr>
          <w:sz w:val="28"/>
          <w:szCs w:val="28"/>
        </w:rPr>
        <w:t>Ханбиков</w:t>
      </w:r>
      <w:proofErr w:type="spellEnd"/>
      <w:r w:rsidRPr="00C30D0A">
        <w:rPr>
          <w:sz w:val="28"/>
          <w:szCs w:val="28"/>
        </w:rPr>
        <w:t xml:space="preserve"> Я.И. Татарские народные игры и праздники [Электронный ресурс]. – Режим доступа: </w:t>
      </w:r>
      <w:hyperlink r:id="rId6" w:history="1">
        <w:r w:rsidRPr="006148DF">
          <w:rPr>
            <w:rStyle w:val="a4"/>
            <w:sz w:val="28"/>
            <w:szCs w:val="28"/>
          </w:rPr>
          <w:t>http://pedagogic.ru/books/item/f00/s00/z0000002/st108.shtml</w:t>
        </w:r>
      </w:hyperlink>
      <w:r>
        <w:rPr>
          <w:sz w:val="28"/>
          <w:szCs w:val="28"/>
        </w:rPr>
        <w:t xml:space="preserve"> </w:t>
      </w:r>
    </w:p>
    <w:p w:rsidR="006E0C09" w:rsidRPr="00C30D0A" w:rsidRDefault="00C30D0A" w:rsidP="00C30D0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30D0A">
        <w:rPr>
          <w:sz w:val="28"/>
          <w:szCs w:val="28"/>
        </w:rPr>
        <w:t>Литвинова М.Ф. Русские народные подвижные игры. – М.: Просвещение, 1986.</w:t>
      </w:r>
    </w:p>
    <w:sectPr w:rsidR="006E0C09" w:rsidRPr="00C30D0A" w:rsidSect="00C30D0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73D66"/>
    <w:multiLevelType w:val="hybridMultilevel"/>
    <w:tmpl w:val="456E2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4EE"/>
    <w:rsid w:val="006040E5"/>
    <w:rsid w:val="00983D2C"/>
    <w:rsid w:val="00C30D0A"/>
    <w:rsid w:val="00C3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8327C"/>
  <w15:chartTrackingRefBased/>
  <w15:docId w15:val="{43ED6104-0B02-4BD5-9124-7E2BA144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D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0D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8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agogic.ru/books/item/f00/s00/z0000002/st108.shtml" TargetMode="External"/><Relationship Id="rId5" Type="http://schemas.openxmlformats.org/officeDocument/2006/relationships/hyperlink" Target="https://base.garant.ru/7028481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729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2026-05-25T06:32:00Z</dcterms:created>
  <dcterms:modified xsi:type="dcterms:W3CDTF">2026-05-25T06:42:00Z</dcterms:modified>
</cp:coreProperties>
</file>